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954"/>
        <w:gridCol w:w="6408"/>
      </w:tblGrid>
      <w:tr w:rsidR="008F6331" w14:paraId="230AF1E9" w14:textId="77777777" w:rsidTr="00B70994">
        <w:trPr>
          <w:cantSplit/>
          <w:trHeight w:val="1844"/>
        </w:trPr>
        <w:tc>
          <w:tcPr>
            <w:tcW w:w="2954" w:type="dxa"/>
            <w:hideMark/>
          </w:tcPr>
          <w:p w14:paraId="61560A3E" w14:textId="77777777" w:rsidR="008F6331" w:rsidRDefault="008F6331" w:rsidP="00B70994">
            <w:pPr>
              <w:jc w:val="center"/>
              <w:rPr>
                <w:u w:val="single"/>
              </w:rPr>
            </w:pPr>
            <w:r>
              <w:rPr>
                <w:noProof/>
                <w:sz w:val="20"/>
              </w:rPr>
              <w:drawing>
                <wp:inline distT="0" distB="0" distL="0" distR="0" wp14:anchorId="468A642F" wp14:editId="46322A4D">
                  <wp:extent cx="1524000" cy="1285875"/>
                  <wp:effectExtent l="0" t="0" r="0" b="9525"/>
                  <wp:docPr id="1" name="Picture 1" descr="SCH2O_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2O_Logo_RGB_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285875"/>
                          </a:xfrm>
                          <a:prstGeom prst="rect">
                            <a:avLst/>
                          </a:prstGeom>
                          <a:noFill/>
                          <a:ln>
                            <a:noFill/>
                          </a:ln>
                        </pic:spPr>
                      </pic:pic>
                    </a:graphicData>
                  </a:graphic>
                </wp:inline>
              </w:drawing>
            </w:r>
          </w:p>
        </w:tc>
        <w:tc>
          <w:tcPr>
            <w:tcW w:w="6408" w:type="dxa"/>
            <w:vAlign w:val="center"/>
            <w:hideMark/>
          </w:tcPr>
          <w:p w14:paraId="3CD3DD5E" w14:textId="77777777" w:rsidR="008F6331" w:rsidRDefault="008F6331" w:rsidP="00B70994">
            <w:pPr>
              <w:pStyle w:val="Heading8"/>
            </w:pPr>
            <w:r>
              <w:t>Water Commission</w:t>
            </w:r>
          </w:p>
          <w:p w14:paraId="26E027C1" w14:textId="77777777" w:rsidR="008F6331" w:rsidRDefault="008F6331" w:rsidP="00B70994">
            <w:pPr>
              <w:jc w:val="center"/>
              <w:rPr>
                <w:rFonts w:ascii="Book Antiqua" w:hAnsi="Book Antiqua"/>
                <w:b/>
                <w:bCs/>
                <w:sz w:val="28"/>
              </w:rPr>
            </w:pPr>
            <w:r>
              <w:rPr>
                <w:rFonts w:ascii="Book Antiqua" w:hAnsi="Book Antiqua"/>
                <w:b/>
                <w:bCs/>
                <w:sz w:val="28"/>
              </w:rPr>
              <w:t>7:00 p.m. –</w:t>
            </w:r>
            <w:r w:rsidR="00242DBD">
              <w:rPr>
                <w:rFonts w:ascii="Book Antiqua" w:hAnsi="Book Antiqua"/>
                <w:b/>
                <w:bCs/>
                <w:sz w:val="28"/>
              </w:rPr>
              <w:t>November 6, 2017</w:t>
            </w:r>
          </w:p>
          <w:p w14:paraId="0061F155" w14:textId="77777777" w:rsidR="008F6331" w:rsidRDefault="008F6331" w:rsidP="00B70994">
            <w:pPr>
              <w:jc w:val="center"/>
              <w:rPr>
                <w:rFonts w:ascii="Book Antiqua" w:hAnsi="Book Antiqua"/>
                <w:b/>
                <w:bCs/>
                <w:sz w:val="28"/>
              </w:rPr>
            </w:pPr>
            <w:r>
              <w:rPr>
                <w:rFonts w:ascii="Book Antiqua" w:hAnsi="Book Antiqua"/>
                <w:b/>
                <w:bCs/>
                <w:sz w:val="28"/>
              </w:rPr>
              <w:t>Council Chambers</w:t>
            </w:r>
          </w:p>
          <w:p w14:paraId="4873F1AA" w14:textId="77777777" w:rsidR="008F6331" w:rsidRDefault="008F6331" w:rsidP="00B70994">
            <w:pPr>
              <w:jc w:val="center"/>
              <w:rPr>
                <w:rFonts w:ascii="Book Antiqua" w:hAnsi="Book Antiqua"/>
                <w:b/>
                <w:bCs/>
                <w:sz w:val="28"/>
              </w:rPr>
            </w:pPr>
            <w:r>
              <w:rPr>
                <w:rFonts w:ascii="Book Antiqua" w:hAnsi="Book Antiqua"/>
                <w:b/>
                <w:bCs/>
                <w:sz w:val="28"/>
              </w:rPr>
              <w:t>809 Center Street, Santa Cruz</w:t>
            </w:r>
          </w:p>
        </w:tc>
      </w:tr>
    </w:tbl>
    <w:p w14:paraId="75EF2FC3" w14:textId="77777777" w:rsidR="00C265E9" w:rsidRDefault="00C265E9"/>
    <w:p w14:paraId="74084DEA" w14:textId="55350F7B" w:rsidR="008F6331" w:rsidRPr="008C7086" w:rsidRDefault="009C584F" w:rsidP="008F6331">
      <w:pPr>
        <w:jc w:val="center"/>
        <w:rPr>
          <w:b/>
          <w:szCs w:val="24"/>
        </w:rPr>
      </w:pPr>
      <w:r w:rsidRPr="008C7086">
        <w:rPr>
          <w:b/>
          <w:szCs w:val="24"/>
        </w:rPr>
        <w:t>MINUTES -</w:t>
      </w:r>
      <w:r w:rsidR="008F6331" w:rsidRPr="008C7086">
        <w:rPr>
          <w:b/>
          <w:szCs w:val="24"/>
        </w:rPr>
        <w:t xml:space="preserve"> Water Commission Meeting</w:t>
      </w:r>
    </w:p>
    <w:p w14:paraId="7DA1F06E" w14:textId="77777777" w:rsidR="00242DBD" w:rsidRPr="008C7086" w:rsidRDefault="00242DBD" w:rsidP="008F6331">
      <w:pPr>
        <w:jc w:val="center"/>
        <w:rPr>
          <w:i/>
          <w:szCs w:val="24"/>
        </w:rPr>
      </w:pPr>
      <w:r w:rsidRPr="008C7086">
        <w:rPr>
          <w:i/>
          <w:szCs w:val="24"/>
        </w:rPr>
        <w:t>Please note minutes are not final until approved by the Advisory Body</w:t>
      </w:r>
    </w:p>
    <w:p w14:paraId="4891B7DA" w14:textId="77777777" w:rsidR="008F6331" w:rsidRPr="008C7086" w:rsidRDefault="008F6331">
      <w:pPr>
        <w:rPr>
          <w:szCs w:val="24"/>
        </w:rPr>
      </w:pPr>
    </w:p>
    <w:p w14:paraId="194704D5" w14:textId="77777777" w:rsidR="008C7086" w:rsidRPr="008C7086" w:rsidRDefault="008C7086" w:rsidP="008C7086">
      <w:pPr>
        <w:pStyle w:val="Heading9"/>
        <w:tabs>
          <w:tab w:val="left" w:pos="1800"/>
        </w:tabs>
        <w:ind w:left="1800" w:hanging="1800"/>
        <w:rPr>
          <w:rFonts w:ascii="Times New Roman" w:hAnsi="Times New Roman" w:cs="Times New Roman"/>
          <w:i w:val="0"/>
          <w:sz w:val="24"/>
          <w:szCs w:val="24"/>
        </w:rPr>
      </w:pPr>
      <w:r w:rsidRPr="008C7086">
        <w:rPr>
          <w:rFonts w:ascii="Times New Roman" w:hAnsi="Times New Roman" w:cs="Times New Roman"/>
          <w:b/>
          <w:i w:val="0"/>
          <w:sz w:val="24"/>
          <w:szCs w:val="24"/>
        </w:rPr>
        <w:t>Call to Order</w:t>
      </w:r>
      <w:r w:rsidRPr="008C7086">
        <w:rPr>
          <w:rFonts w:ascii="Times New Roman" w:hAnsi="Times New Roman" w:cs="Times New Roman"/>
          <w:i w:val="0"/>
          <w:sz w:val="24"/>
          <w:szCs w:val="24"/>
        </w:rPr>
        <w:tab/>
        <w:t>Chair Wilshusen called the meeting to order at 7</w:t>
      </w:r>
      <w:r w:rsidRPr="008C7086">
        <w:rPr>
          <w:rFonts w:ascii="Times New Roman" w:hAnsi="Times New Roman" w:cs="Times New Roman"/>
          <w:b/>
          <w:i w:val="0"/>
          <w:sz w:val="24"/>
          <w:szCs w:val="24"/>
        </w:rPr>
        <w:t>:</w:t>
      </w:r>
      <w:r w:rsidRPr="008C7086">
        <w:rPr>
          <w:rFonts w:ascii="Times New Roman" w:hAnsi="Times New Roman" w:cs="Times New Roman"/>
          <w:i w:val="0"/>
          <w:sz w:val="24"/>
          <w:szCs w:val="24"/>
        </w:rPr>
        <w:t>0</w:t>
      </w:r>
      <w:r w:rsidR="00836A6C">
        <w:rPr>
          <w:rFonts w:ascii="Times New Roman" w:hAnsi="Times New Roman" w:cs="Times New Roman"/>
          <w:i w:val="0"/>
          <w:sz w:val="24"/>
          <w:szCs w:val="24"/>
        </w:rPr>
        <w:t>4</w:t>
      </w:r>
      <w:r w:rsidR="00607A18">
        <w:rPr>
          <w:rFonts w:ascii="Times New Roman" w:hAnsi="Times New Roman" w:cs="Times New Roman"/>
          <w:i w:val="0"/>
          <w:sz w:val="24"/>
          <w:szCs w:val="24"/>
        </w:rPr>
        <w:t xml:space="preserve"> </w:t>
      </w:r>
      <w:r w:rsidRPr="008C7086">
        <w:rPr>
          <w:rFonts w:ascii="Times New Roman" w:hAnsi="Times New Roman" w:cs="Times New Roman"/>
          <w:i w:val="0"/>
          <w:sz w:val="24"/>
          <w:szCs w:val="24"/>
        </w:rPr>
        <w:t>p.m. in the City Council Chambers.</w:t>
      </w:r>
    </w:p>
    <w:p w14:paraId="549122AA" w14:textId="77777777" w:rsidR="008C7086" w:rsidRPr="008C7086" w:rsidRDefault="008C7086" w:rsidP="008C7086">
      <w:pPr>
        <w:rPr>
          <w:szCs w:val="24"/>
        </w:rPr>
      </w:pPr>
    </w:p>
    <w:p w14:paraId="5EEBB1F1" w14:textId="77777777" w:rsidR="008C7086" w:rsidRPr="008C7086" w:rsidRDefault="008C7086" w:rsidP="008C7086">
      <w:pPr>
        <w:pStyle w:val="Heading9"/>
        <w:tabs>
          <w:tab w:val="left" w:pos="1800"/>
        </w:tabs>
        <w:ind w:left="1440" w:hanging="1440"/>
        <w:rPr>
          <w:rFonts w:ascii="Times New Roman" w:hAnsi="Times New Roman" w:cs="Times New Roman"/>
          <w:b/>
          <w:i w:val="0"/>
          <w:sz w:val="24"/>
          <w:szCs w:val="24"/>
        </w:rPr>
      </w:pPr>
      <w:r w:rsidRPr="008C7086">
        <w:rPr>
          <w:rFonts w:ascii="Times New Roman" w:hAnsi="Times New Roman" w:cs="Times New Roman"/>
          <w:b/>
          <w:i w:val="0"/>
          <w:sz w:val="24"/>
          <w:szCs w:val="24"/>
        </w:rPr>
        <w:t xml:space="preserve">Roll Call </w:t>
      </w:r>
    </w:p>
    <w:p w14:paraId="131650C2" w14:textId="670C9901" w:rsidR="008C7086" w:rsidRPr="008C7086" w:rsidRDefault="008C7086" w:rsidP="008C7086">
      <w:pPr>
        <w:ind w:left="1800" w:hanging="1800"/>
        <w:rPr>
          <w:szCs w:val="24"/>
        </w:rPr>
      </w:pPr>
      <w:r w:rsidRPr="008C7086">
        <w:rPr>
          <w:szCs w:val="24"/>
        </w:rPr>
        <w:t>Present:</w:t>
      </w:r>
      <w:r w:rsidRPr="008C7086">
        <w:rPr>
          <w:szCs w:val="24"/>
        </w:rPr>
        <w:tab/>
        <w:t>L. Wilshusen (Chair), D. Engfer (Vice-Chair), D. Baskin, J. Mekis, A. Schiffrin, D. Schwarm</w:t>
      </w:r>
    </w:p>
    <w:p w14:paraId="5A24CCA9" w14:textId="77777777" w:rsidR="008C7086" w:rsidRPr="008C7086" w:rsidRDefault="008C7086" w:rsidP="008C7086">
      <w:pPr>
        <w:ind w:left="1800" w:hanging="1800"/>
        <w:rPr>
          <w:szCs w:val="24"/>
        </w:rPr>
      </w:pPr>
      <w:r w:rsidRPr="008C7086">
        <w:rPr>
          <w:szCs w:val="24"/>
        </w:rPr>
        <w:t>Absent:</w:t>
      </w:r>
      <w:r w:rsidRPr="008C7086">
        <w:rPr>
          <w:szCs w:val="24"/>
        </w:rPr>
        <w:tab/>
        <w:t>W. Wadlow (with notification)</w:t>
      </w:r>
    </w:p>
    <w:p w14:paraId="50CC5359" w14:textId="77777777" w:rsidR="008C7086" w:rsidRDefault="008C7086" w:rsidP="008C7086">
      <w:pPr>
        <w:tabs>
          <w:tab w:val="left" w:pos="1800"/>
        </w:tabs>
        <w:ind w:left="1800" w:hanging="1800"/>
        <w:rPr>
          <w:szCs w:val="24"/>
        </w:rPr>
      </w:pPr>
      <w:r w:rsidRPr="008C7086">
        <w:rPr>
          <w:szCs w:val="24"/>
        </w:rPr>
        <w:t>Staff Present:</w:t>
      </w:r>
      <w:r w:rsidRPr="008C7086">
        <w:rPr>
          <w:szCs w:val="24"/>
        </w:rPr>
        <w:tab/>
        <w:t xml:space="preserve">R. Menard, Water Director; H. Luckenbach, Deputy Director/Engineering Manager; N. Dennis, Principal Management Analyst; K. Crossley, Senior Professional Engineer; </w:t>
      </w:r>
      <w:r w:rsidR="00EC6D92">
        <w:rPr>
          <w:szCs w:val="24"/>
        </w:rPr>
        <w:t xml:space="preserve">S. Easley Perez, </w:t>
      </w:r>
      <w:r w:rsidR="008F0EBD">
        <w:rPr>
          <w:szCs w:val="24"/>
        </w:rPr>
        <w:t xml:space="preserve">Associate </w:t>
      </w:r>
      <w:r w:rsidR="00EC6D92">
        <w:rPr>
          <w:szCs w:val="24"/>
        </w:rPr>
        <w:t>Planner</w:t>
      </w:r>
      <w:r w:rsidR="008F0EBD">
        <w:rPr>
          <w:szCs w:val="24"/>
        </w:rPr>
        <w:t xml:space="preserve"> II</w:t>
      </w:r>
      <w:r w:rsidR="00EC6D92">
        <w:rPr>
          <w:szCs w:val="24"/>
        </w:rPr>
        <w:t>; K. Moore</w:t>
      </w:r>
      <w:r w:rsidR="008F0EBD">
        <w:rPr>
          <w:szCs w:val="24"/>
        </w:rPr>
        <w:t>,</w:t>
      </w:r>
      <w:r w:rsidR="00EC6D92">
        <w:rPr>
          <w:szCs w:val="24"/>
        </w:rPr>
        <w:t xml:space="preserve"> </w:t>
      </w:r>
      <w:r w:rsidR="008F0EBD">
        <w:rPr>
          <w:szCs w:val="24"/>
        </w:rPr>
        <w:t xml:space="preserve">Associate </w:t>
      </w:r>
      <w:r w:rsidR="00EC6D92">
        <w:rPr>
          <w:szCs w:val="24"/>
        </w:rPr>
        <w:t>Planner</w:t>
      </w:r>
      <w:r w:rsidR="008F0EBD">
        <w:rPr>
          <w:szCs w:val="24"/>
        </w:rPr>
        <w:t xml:space="preserve"> II</w:t>
      </w:r>
      <w:r w:rsidR="000E4AC5">
        <w:rPr>
          <w:szCs w:val="24"/>
        </w:rPr>
        <w:t>; T. Goddard, Conservation Manager; M. Kaping, Management Analyst</w:t>
      </w:r>
    </w:p>
    <w:p w14:paraId="49A66302" w14:textId="77777777" w:rsidR="00551B90" w:rsidRPr="008C7086" w:rsidRDefault="00551B90" w:rsidP="008C7086">
      <w:pPr>
        <w:tabs>
          <w:tab w:val="left" w:pos="1800"/>
        </w:tabs>
        <w:ind w:left="1800" w:hanging="1800"/>
        <w:rPr>
          <w:szCs w:val="24"/>
        </w:rPr>
      </w:pPr>
      <w:r>
        <w:rPr>
          <w:szCs w:val="24"/>
        </w:rPr>
        <w:t>Consultants:</w:t>
      </w:r>
      <w:r>
        <w:rPr>
          <w:szCs w:val="24"/>
        </w:rPr>
        <w:tab/>
        <w:t xml:space="preserve">Ann </w:t>
      </w:r>
      <w:r w:rsidRPr="00CE0E77">
        <w:rPr>
          <w:szCs w:val="24"/>
        </w:rPr>
        <w:t>Sans</w:t>
      </w:r>
      <w:r w:rsidR="008F0EBD">
        <w:rPr>
          <w:szCs w:val="24"/>
        </w:rPr>
        <w:t xml:space="preserve">evero, Dudek; </w:t>
      </w:r>
      <w:r w:rsidRPr="008C7086">
        <w:rPr>
          <w:szCs w:val="24"/>
        </w:rPr>
        <w:t xml:space="preserve">Todd </w:t>
      </w:r>
      <w:r>
        <w:rPr>
          <w:szCs w:val="24"/>
        </w:rPr>
        <w:t>Reynolds</w:t>
      </w:r>
      <w:r w:rsidR="008F0EBD">
        <w:rPr>
          <w:szCs w:val="24"/>
        </w:rPr>
        <w:t>,</w:t>
      </w:r>
      <w:r>
        <w:rPr>
          <w:szCs w:val="24"/>
        </w:rPr>
        <w:t xml:space="preserve"> Kennedy/Jenks</w:t>
      </w:r>
      <w:r w:rsidR="008F0EBD">
        <w:rPr>
          <w:szCs w:val="24"/>
        </w:rPr>
        <w:t xml:space="preserve"> Consultants.</w:t>
      </w:r>
    </w:p>
    <w:p w14:paraId="0F31303A" w14:textId="77777777" w:rsidR="008C7086" w:rsidRPr="008C7086" w:rsidRDefault="008C7086" w:rsidP="008C7086">
      <w:pPr>
        <w:rPr>
          <w:szCs w:val="24"/>
        </w:rPr>
      </w:pPr>
    </w:p>
    <w:p w14:paraId="6D13D525" w14:textId="77777777" w:rsidR="008C7086" w:rsidRDefault="008C7086" w:rsidP="008C7086">
      <w:pPr>
        <w:rPr>
          <w:szCs w:val="24"/>
        </w:rPr>
      </w:pPr>
      <w:r w:rsidRPr="008C7086">
        <w:rPr>
          <w:b/>
          <w:szCs w:val="24"/>
        </w:rPr>
        <w:t>Others</w:t>
      </w:r>
      <w:r w:rsidRPr="008C7086">
        <w:rPr>
          <w:szCs w:val="24"/>
        </w:rPr>
        <w:t xml:space="preserve">: </w:t>
      </w:r>
      <w:r w:rsidR="000E4AC5">
        <w:rPr>
          <w:szCs w:val="24"/>
        </w:rPr>
        <w:t xml:space="preserve">Several </w:t>
      </w:r>
      <w:r w:rsidRPr="008C7086">
        <w:rPr>
          <w:szCs w:val="24"/>
        </w:rPr>
        <w:t xml:space="preserve">members </w:t>
      </w:r>
      <w:r w:rsidR="000E4AC5">
        <w:rPr>
          <w:szCs w:val="24"/>
        </w:rPr>
        <w:t>from the general</w:t>
      </w:r>
      <w:r w:rsidR="000E4AC5" w:rsidRPr="008C7086">
        <w:rPr>
          <w:szCs w:val="24"/>
        </w:rPr>
        <w:t xml:space="preserve"> </w:t>
      </w:r>
      <w:r w:rsidRPr="008C7086">
        <w:rPr>
          <w:szCs w:val="24"/>
        </w:rPr>
        <w:t>public.</w:t>
      </w:r>
    </w:p>
    <w:p w14:paraId="2CE4CF80" w14:textId="77777777" w:rsidR="008C7086" w:rsidRPr="008C7086" w:rsidRDefault="008C7086" w:rsidP="008C7086">
      <w:pPr>
        <w:rPr>
          <w:szCs w:val="24"/>
        </w:rPr>
      </w:pPr>
    </w:p>
    <w:p w14:paraId="60F91A12" w14:textId="77777777" w:rsidR="008C7086" w:rsidRDefault="008C7086" w:rsidP="008C7086">
      <w:pPr>
        <w:pStyle w:val="Heading2"/>
        <w:rPr>
          <w:rFonts w:ascii="Times New Roman" w:hAnsi="Times New Roman" w:cs="Times New Roman"/>
          <w:bCs/>
          <w:color w:val="auto"/>
          <w:sz w:val="24"/>
          <w:szCs w:val="24"/>
        </w:rPr>
      </w:pPr>
      <w:r w:rsidRPr="008C7086">
        <w:rPr>
          <w:rFonts w:ascii="Times New Roman" w:hAnsi="Times New Roman" w:cs="Times New Roman"/>
          <w:b/>
          <w:bCs/>
          <w:color w:val="auto"/>
          <w:sz w:val="24"/>
          <w:szCs w:val="24"/>
        </w:rPr>
        <w:t>Announcements</w:t>
      </w:r>
      <w:r w:rsidRPr="008C7086">
        <w:rPr>
          <w:rFonts w:ascii="Times New Roman" w:hAnsi="Times New Roman" w:cs="Times New Roman"/>
          <w:bCs/>
          <w:color w:val="auto"/>
          <w:sz w:val="24"/>
          <w:szCs w:val="24"/>
        </w:rPr>
        <w:t xml:space="preserve"> </w:t>
      </w:r>
      <w:r w:rsidRPr="008C7086">
        <w:rPr>
          <w:rFonts w:ascii="Times New Roman" w:hAnsi="Times New Roman" w:cs="Times New Roman"/>
          <w:b/>
          <w:bCs/>
          <w:color w:val="auto"/>
          <w:sz w:val="24"/>
          <w:szCs w:val="24"/>
        </w:rPr>
        <w:t>–</w:t>
      </w:r>
      <w:r w:rsidRPr="008C7086">
        <w:rPr>
          <w:rFonts w:ascii="Times New Roman" w:hAnsi="Times New Roman" w:cs="Times New Roman"/>
          <w:bCs/>
          <w:color w:val="auto"/>
          <w:sz w:val="24"/>
          <w:szCs w:val="24"/>
        </w:rPr>
        <w:t>There were no announcements.</w:t>
      </w:r>
    </w:p>
    <w:p w14:paraId="4F6A03B3" w14:textId="77777777" w:rsidR="008C7086" w:rsidRPr="008C7086" w:rsidRDefault="008C7086" w:rsidP="008C7086"/>
    <w:p w14:paraId="311CB7BB" w14:textId="77777777" w:rsidR="008C7086" w:rsidRDefault="008C7086" w:rsidP="008C7086">
      <w:pPr>
        <w:rPr>
          <w:szCs w:val="24"/>
        </w:rPr>
      </w:pPr>
      <w:r w:rsidRPr="008C7086">
        <w:rPr>
          <w:b/>
          <w:szCs w:val="24"/>
        </w:rPr>
        <w:t>Statements of Disqualification</w:t>
      </w:r>
      <w:r w:rsidRPr="008C7086">
        <w:rPr>
          <w:szCs w:val="24"/>
        </w:rPr>
        <w:t xml:space="preserve"> – There were no statements of disqualification.</w:t>
      </w:r>
    </w:p>
    <w:p w14:paraId="35C14246" w14:textId="77777777" w:rsidR="008C7086" w:rsidRPr="008C7086" w:rsidRDefault="008C7086" w:rsidP="008C7086">
      <w:pPr>
        <w:rPr>
          <w:i/>
          <w:szCs w:val="24"/>
        </w:rPr>
      </w:pPr>
    </w:p>
    <w:p w14:paraId="521839E4" w14:textId="77777777" w:rsidR="008C7086" w:rsidRPr="008C7086" w:rsidRDefault="008C7086" w:rsidP="008C7086">
      <w:pPr>
        <w:pStyle w:val="Heading2"/>
        <w:rPr>
          <w:rFonts w:ascii="Times New Roman" w:hAnsi="Times New Roman" w:cs="Times New Roman"/>
          <w:b/>
          <w:bCs/>
          <w:color w:val="auto"/>
          <w:sz w:val="24"/>
          <w:szCs w:val="24"/>
        </w:rPr>
      </w:pPr>
      <w:r w:rsidRPr="008C7086">
        <w:rPr>
          <w:rFonts w:ascii="Times New Roman" w:hAnsi="Times New Roman" w:cs="Times New Roman"/>
          <w:b/>
          <w:bCs/>
          <w:color w:val="auto"/>
          <w:sz w:val="24"/>
          <w:szCs w:val="24"/>
        </w:rPr>
        <w:t>Oral Communications –</w:t>
      </w:r>
      <w:r w:rsidRPr="008C7086">
        <w:rPr>
          <w:rFonts w:ascii="Times New Roman" w:hAnsi="Times New Roman" w:cs="Times New Roman"/>
          <w:bCs/>
          <w:color w:val="auto"/>
          <w:sz w:val="24"/>
          <w:szCs w:val="24"/>
        </w:rPr>
        <w:t>There were no oral communications.</w:t>
      </w:r>
    </w:p>
    <w:p w14:paraId="0671BE17" w14:textId="77777777" w:rsidR="00C12F81" w:rsidRPr="008C7086" w:rsidRDefault="00C12F81" w:rsidP="00681065">
      <w:pPr>
        <w:tabs>
          <w:tab w:val="left" w:pos="1620"/>
        </w:tabs>
        <w:rPr>
          <w:szCs w:val="24"/>
        </w:rPr>
      </w:pPr>
    </w:p>
    <w:p w14:paraId="54963F29" w14:textId="77777777" w:rsidR="00C12F81" w:rsidRDefault="00C12F81" w:rsidP="00681065">
      <w:pPr>
        <w:tabs>
          <w:tab w:val="left" w:pos="1620"/>
        </w:tabs>
        <w:rPr>
          <w:b/>
          <w:szCs w:val="24"/>
        </w:rPr>
      </w:pPr>
      <w:r w:rsidRPr="008C7086">
        <w:rPr>
          <w:b/>
          <w:szCs w:val="24"/>
        </w:rPr>
        <w:t>Consent Agenda</w:t>
      </w:r>
    </w:p>
    <w:p w14:paraId="2301FAB0" w14:textId="77777777" w:rsidR="00834726" w:rsidRPr="008C7086" w:rsidRDefault="00834726" w:rsidP="00681065">
      <w:pPr>
        <w:tabs>
          <w:tab w:val="left" w:pos="1620"/>
        </w:tabs>
        <w:rPr>
          <w:b/>
          <w:szCs w:val="24"/>
        </w:rPr>
      </w:pPr>
    </w:p>
    <w:p w14:paraId="1DFAEFE8" w14:textId="77777777" w:rsidR="00242DBD" w:rsidRDefault="00F47C7C" w:rsidP="00F505A8">
      <w:pPr>
        <w:ind w:left="360" w:hanging="360"/>
        <w:rPr>
          <w:szCs w:val="24"/>
        </w:rPr>
      </w:pPr>
      <w:r>
        <w:rPr>
          <w:szCs w:val="24"/>
        </w:rPr>
        <w:t>1.</w:t>
      </w:r>
      <w:r>
        <w:rPr>
          <w:szCs w:val="24"/>
        </w:rPr>
        <w:tab/>
      </w:r>
      <w:r w:rsidR="00242DBD" w:rsidRPr="00490AED">
        <w:rPr>
          <w:szCs w:val="24"/>
          <w:u w:val="single"/>
        </w:rPr>
        <w:t>City Council actions affecting the Water Department</w:t>
      </w:r>
      <w:r w:rsidR="00242DBD" w:rsidRPr="00F47C7C">
        <w:rPr>
          <w:szCs w:val="24"/>
        </w:rPr>
        <w:t xml:space="preserve"> </w:t>
      </w:r>
    </w:p>
    <w:p w14:paraId="3ED25313" w14:textId="77777777" w:rsidR="00490AED" w:rsidRPr="00F47C7C" w:rsidRDefault="00490AED" w:rsidP="00F505A8">
      <w:pPr>
        <w:ind w:left="360" w:hanging="360"/>
        <w:rPr>
          <w:szCs w:val="24"/>
        </w:rPr>
      </w:pPr>
    </w:p>
    <w:p w14:paraId="25C9D7CC" w14:textId="77777777" w:rsidR="00242DBD" w:rsidRDefault="00F47C7C" w:rsidP="00F505A8">
      <w:pPr>
        <w:ind w:left="360" w:hanging="360"/>
        <w:rPr>
          <w:szCs w:val="24"/>
        </w:rPr>
      </w:pPr>
      <w:r>
        <w:rPr>
          <w:szCs w:val="24"/>
        </w:rPr>
        <w:t>2.</w:t>
      </w:r>
      <w:r>
        <w:rPr>
          <w:szCs w:val="24"/>
        </w:rPr>
        <w:tab/>
      </w:r>
      <w:r w:rsidR="00242DBD" w:rsidRPr="00490AED">
        <w:rPr>
          <w:szCs w:val="24"/>
          <w:u w:val="single"/>
        </w:rPr>
        <w:t>October 2, 2017 Water Commission Minutes</w:t>
      </w:r>
    </w:p>
    <w:p w14:paraId="4B68630F" w14:textId="77777777" w:rsidR="00490AED" w:rsidRPr="00F47C7C" w:rsidRDefault="00490AED" w:rsidP="00F505A8">
      <w:pPr>
        <w:ind w:left="360" w:hanging="360"/>
        <w:rPr>
          <w:szCs w:val="24"/>
        </w:rPr>
      </w:pPr>
    </w:p>
    <w:p w14:paraId="7EAD07E5" w14:textId="77777777" w:rsidR="00242DBD" w:rsidRPr="00490AED" w:rsidRDefault="00F505A8" w:rsidP="00F505A8">
      <w:pPr>
        <w:ind w:left="360" w:hanging="360"/>
        <w:rPr>
          <w:szCs w:val="24"/>
          <w:u w:val="single"/>
        </w:rPr>
      </w:pPr>
      <w:r>
        <w:rPr>
          <w:szCs w:val="24"/>
        </w:rPr>
        <w:t>4.</w:t>
      </w:r>
      <w:r>
        <w:rPr>
          <w:szCs w:val="24"/>
        </w:rPr>
        <w:tab/>
      </w:r>
      <w:r w:rsidR="00242DBD" w:rsidRPr="00490AED">
        <w:rPr>
          <w:szCs w:val="24"/>
          <w:u w:val="single"/>
        </w:rPr>
        <w:t xml:space="preserve">2018 Water Commission Schedule </w:t>
      </w:r>
    </w:p>
    <w:p w14:paraId="4F14C70A" w14:textId="77777777" w:rsidR="00490AED" w:rsidRPr="00077932" w:rsidRDefault="00490AED" w:rsidP="00F505A8">
      <w:pPr>
        <w:ind w:left="360" w:hanging="360"/>
        <w:rPr>
          <w:szCs w:val="24"/>
        </w:rPr>
      </w:pPr>
    </w:p>
    <w:p w14:paraId="6B24A55E" w14:textId="77777777" w:rsidR="00242DBD" w:rsidRDefault="00F505A8" w:rsidP="00F505A8">
      <w:pPr>
        <w:ind w:left="360" w:hanging="360"/>
        <w:rPr>
          <w:szCs w:val="24"/>
        </w:rPr>
      </w:pPr>
      <w:r>
        <w:rPr>
          <w:szCs w:val="24"/>
        </w:rPr>
        <w:t>5.</w:t>
      </w:r>
      <w:r>
        <w:rPr>
          <w:szCs w:val="24"/>
        </w:rPr>
        <w:tab/>
      </w:r>
      <w:r w:rsidR="00242DBD" w:rsidRPr="00490AED">
        <w:rPr>
          <w:szCs w:val="24"/>
          <w:u w:val="single"/>
        </w:rPr>
        <w:t>4th Quarter FY 2017 Financial Report (continued from October 2, 2017 meeting</w:t>
      </w:r>
      <w:r w:rsidR="00B26B44" w:rsidRPr="00490AED">
        <w:rPr>
          <w:szCs w:val="24"/>
          <w:u w:val="single"/>
        </w:rPr>
        <w:t>)</w:t>
      </w:r>
    </w:p>
    <w:p w14:paraId="77E90613" w14:textId="77777777" w:rsidR="00490AED" w:rsidRPr="00077932" w:rsidRDefault="00490AED" w:rsidP="00F505A8">
      <w:pPr>
        <w:ind w:left="360" w:hanging="360"/>
        <w:rPr>
          <w:szCs w:val="24"/>
        </w:rPr>
      </w:pPr>
    </w:p>
    <w:p w14:paraId="419AFBB7" w14:textId="580CF440" w:rsidR="00242DBD" w:rsidRPr="00077932" w:rsidRDefault="00F505A8" w:rsidP="00F505A8">
      <w:pPr>
        <w:ind w:left="360" w:hanging="360"/>
        <w:rPr>
          <w:szCs w:val="24"/>
        </w:rPr>
      </w:pPr>
      <w:r>
        <w:rPr>
          <w:szCs w:val="24"/>
        </w:rPr>
        <w:t>6.</w:t>
      </w:r>
      <w:r>
        <w:rPr>
          <w:szCs w:val="24"/>
        </w:rPr>
        <w:tab/>
      </w:r>
      <w:r w:rsidR="00242DBD" w:rsidRPr="00490AED">
        <w:rPr>
          <w:szCs w:val="24"/>
          <w:u w:val="single"/>
        </w:rPr>
        <w:t xml:space="preserve">1st Quarter FY 2018 Financial Report </w:t>
      </w:r>
    </w:p>
    <w:p w14:paraId="71B77C36" w14:textId="77777777" w:rsidR="00242DBD" w:rsidRPr="008C7086" w:rsidRDefault="00242DBD" w:rsidP="00C12F81">
      <w:pPr>
        <w:tabs>
          <w:tab w:val="left" w:pos="1620"/>
        </w:tabs>
        <w:rPr>
          <w:b/>
          <w:szCs w:val="24"/>
        </w:rPr>
      </w:pPr>
    </w:p>
    <w:p w14:paraId="27251091" w14:textId="77777777" w:rsidR="00B26B44" w:rsidRPr="00F505A8" w:rsidRDefault="00C12F81" w:rsidP="00C12F81">
      <w:pPr>
        <w:tabs>
          <w:tab w:val="left" w:pos="1620"/>
        </w:tabs>
        <w:rPr>
          <w:b/>
          <w:szCs w:val="24"/>
        </w:rPr>
      </w:pPr>
      <w:r w:rsidRPr="008C7086">
        <w:rPr>
          <w:b/>
          <w:szCs w:val="24"/>
        </w:rPr>
        <w:lastRenderedPageBreak/>
        <w:t>Items Removed from the Consent Agenda</w:t>
      </w:r>
    </w:p>
    <w:p w14:paraId="53F94259" w14:textId="77777777" w:rsidR="00077932" w:rsidRPr="00F505A8" w:rsidRDefault="00F505A8" w:rsidP="00F505A8">
      <w:pPr>
        <w:ind w:left="360" w:hanging="360"/>
        <w:rPr>
          <w:szCs w:val="24"/>
        </w:rPr>
      </w:pPr>
      <w:r>
        <w:rPr>
          <w:szCs w:val="24"/>
        </w:rPr>
        <w:t>3.</w:t>
      </w:r>
      <w:r>
        <w:rPr>
          <w:szCs w:val="24"/>
        </w:rPr>
        <w:tab/>
      </w:r>
      <w:r w:rsidR="00077932" w:rsidRPr="00834726">
        <w:rPr>
          <w:szCs w:val="24"/>
          <w:u w:val="single"/>
        </w:rPr>
        <w:t xml:space="preserve">Summary of Supply Modeling and Aquifer Storage and Recovery Information presented at October 2, 2017 Water </w:t>
      </w:r>
      <w:r w:rsidR="00077932" w:rsidRPr="00502DDE">
        <w:rPr>
          <w:szCs w:val="24"/>
          <w:u w:val="single"/>
        </w:rPr>
        <w:t xml:space="preserve">Commission </w:t>
      </w:r>
      <w:r w:rsidR="008F0EBD" w:rsidRPr="00502DDE">
        <w:rPr>
          <w:szCs w:val="24"/>
          <w:u w:val="single"/>
        </w:rPr>
        <w:t>Meeting</w:t>
      </w:r>
    </w:p>
    <w:p w14:paraId="1C73289A" w14:textId="77777777" w:rsidR="00077932" w:rsidRPr="00F505A8" w:rsidRDefault="00F505A8" w:rsidP="00F505A8">
      <w:pPr>
        <w:ind w:left="360" w:hanging="360"/>
        <w:rPr>
          <w:szCs w:val="24"/>
        </w:rPr>
      </w:pPr>
      <w:r>
        <w:rPr>
          <w:szCs w:val="24"/>
        </w:rPr>
        <w:t>7.</w:t>
      </w:r>
      <w:r>
        <w:rPr>
          <w:szCs w:val="24"/>
        </w:rPr>
        <w:tab/>
      </w:r>
      <w:r w:rsidR="00077932" w:rsidRPr="00834726">
        <w:rPr>
          <w:szCs w:val="24"/>
          <w:u w:val="single"/>
        </w:rPr>
        <w:t>Update to the 2015 State of the Water System (continued from October 2, 2017 meeting)</w:t>
      </w:r>
    </w:p>
    <w:p w14:paraId="209FC5F3" w14:textId="77777777" w:rsidR="002E5D73" w:rsidRPr="008C7086" w:rsidRDefault="002E5D73" w:rsidP="00C12F81">
      <w:pPr>
        <w:tabs>
          <w:tab w:val="left" w:pos="1620"/>
        </w:tabs>
        <w:rPr>
          <w:szCs w:val="24"/>
        </w:rPr>
      </w:pPr>
    </w:p>
    <w:p w14:paraId="2C79B293" w14:textId="77777777" w:rsidR="007F0794" w:rsidRPr="008C7086" w:rsidRDefault="007F0794" w:rsidP="007F0794">
      <w:pPr>
        <w:pStyle w:val="Default"/>
      </w:pPr>
      <w:r w:rsidRPr="008C7086">
        <w:t xml:space="preserve">Commissioner </w:t>
      </w:r>
      <w:r w:rsidR="000424B7">
        <w:t>Schiffri</w:t>
      </w:r>
      <w:r w:rsidR="00836A6C">
        <w:t>n</w:t>
      </w:r>
      <w:r w:rsidRPr="008C7086">
        <w:t xml:space="preserve"> moved the consent agenda. Commissioner </w:t>
      </w:r>
      <w:r w:rsidR="00604419" w:rsidRPr="008C7086">
        <w:t xml:space="preserve">Baskin </w:t>
      </w:r>
      <w:r w:rsidRPr="008C7086">
        <w:t xml:space="preserve">seconded. </w:t>
      </w:r>
    </w:p>
    <w:p w14:paraId="53C48D30" w14:textId="77777777" w:rsidR="007F0794" w:rsidRPr="008C7086" w:rsidRDefault="007F0794" w:rsidP="007F0794">
      <w:pPr>
        <w:pStyle w:val="Default"/>
        <w:tabs>
          <w:tab w:val="left" w:pos="1710"/>
        </w:tabs>
      </w:pPr>
      <w:r w:rsidRPr="008C7086">
        <w:t xml:space="preserve">VOICE VOTE: </w:t>
      </w:r>
      <w:r w:rsidRPr="008C7086">
        <w:tab/>
        <w:t xml:space="preserve">MOTION CARRIED </w:t>
      </w:r>
    </w:p>
    <w:p w14:paraId="366957D5" w14:textId="77777777" w:rsidR="007F0794" w:rsidRPr="008C7086" w:rsidRDefault="007F0794" w:rsidP="007F0794">
      <w:pPr>
        <w:pStyle w:val="Default"/>
        <w:tabs>
          <w:tab w:val="left" w:pos="1710"/>
        </w:tabs>
      </w:pPr>
      <w:r w:rsidRPr="008C7086">
        <w:t xml:space="preserve">AYES: </w:t>
      </w:r>
      <w:r w:rsidRPr="008C7086">
        <w:tab/>
        <w:t>All.</w:t>
      </w:r>
    </w:p>
    <w:p w14:paraId="025B67B7" w14:textId="77777777" w:rsidR="007F0794" w:rsidRDefault="007F0794" w:rsidP="007F0794">
      <w:pPr>
        <w:tabs>
          <w:tab w:val="left" w:pos="1710"/>
        </w:tabs>
        <w:rPr>
          <w:szCs w:val="24"/>
        </w:rPr>
      </w:pPr>
      <w:r w:rsidRPr="008C7086">
        <w:rPr>
          <w:szCs w:val="24"/>
        </w:rPr>
        <w:t xml:space="preserve">NOES: </w:t>
      </w:r>
      <w:r w:rsidRPr="008C7086">
        <w:rPr>
          <w:szCs w:val="24"/>
        </w:rPr>
        <w:tab/>
        <w:t>None</w:t>
      </w:r>
    </w:p>
    <w:p w14:paraId="07A68916" w14:textId="4D8CB6F8" w:rsidR="001B5A7C" w:rsidRPr="008C7086" w:rsidRDefault="001B5A7C" w:rsidP="001B5A7C">
      <w:pPr>
        <w:tabs>
          <w:tab w:val="left" w:pos="1710"/>
        </w:tabs>
        <w:rPr>
          <w:szCs w:val="24"/>
        </w:rPr>
      </w:pPr>
      <w:r w:rsidRPr="008C7086">
        <w:rPr>
          <w:szCs w:val="24"/>
        </w:rPr>
        <w:t xml:space="preserve">ABSTAIN: </w:t>
      </w:r>
      <w:r w:rsidR="00CE0E77">
        <w:rPr>
          <w:szCs w:val="24"/>
        </w:rPr>
        <w:tab/>
      </w:r>
      <w:r w:rsidRPr="008C7086">
        <w:rPr>
          <w:szCs w:val="24"/>
        </w:rPr>
        <w:t xml:space="preserve">Commissioner </w:t>
      </w:r>
      <w:r w:rsidR="00CE0E77">
        <w:rPr>
          <w:szCs w:val="24"/>
        </w:rPr>
        <w:t>Schiffrin</w:t>
      </w:r>
      <w:r w:rsidRPr="008C7086">
        <w:rPr>
          <w:szCs w:val="24"/>
        </w:rPr>
        <w:t xml:space="preserve"> for item #</w:t>
      </w:r>
      <w:r w:rsidR="00836A6C">
        <w:rPr>
          <w:szCs w:val="24"/>
        </w:rPr>
        <w:t>2</w:t>
      </w:r>
      <w:r w:rsidR="00984D91">
        <w:rPr>
          <w:szCs w:val="24"/>
        </w:rPr>
        <w:t xml:space="preserve"> due to an absence.</w:t>
      </w:r>
    </w:p>
    <w:p w14:paraId="1AE5CDEA" w14:textId="77777777" w:rsidR="001B5A7C" w:rsidRPr="008C7086" w:rsidRDefault="001B5A7C" w:rsidP="00C12F81">
      <w:pPr>
        <w:tabs>
          <w:tab w:val="left" w:pos="1620"/>
        </w:tabs>
        <w:rPr>
          <w:szCs w:val="24"/>
        </w:rPr>
      </w:pPr>
    </w:p>
    <w:p w14:paraId="7D1947F6" w14:textId="77777777" w:rsidR="00904CA5" w:rsidRPr="008C7086" w:rsidRDefault="00904CA5" w:rsidP="00C12F81">
      <w:pPr>
        <w:tabs>
          <w:tab w:val="left" w:pos="1620"/>
        </w:tabs>
        <w:rPr>
          <w:szCs w:val="24"/>
        </w:rPr>
      </w:pPr>
      <w:r w:rsidRPr="008C7086">
        <w:rPr>
          <w:b/>
          <w:szCs w:val="24"/>
        </w:rPr>
        <w:t>General Business</w:t>
      </w:r>
    </w:p>
    <w:p w14:paraId="4DEAA1A3" w14:textId="77777777" w:rsidR="00EC614F" w:rsidRPr="008C7086" w:rsidRDefault="00EC614F" w:rsidP="00EC614F">
      <w:pPr>
        <w:tabs>
          <w:tab w:val="left" w:pos="1620"/>
        </w:tabs>
        <w:rPr>
          <w:szCs w:val="24"/>
          <w:u w:val="single"/>
        </w:rPr>
      </w:pPr>
    </w:p>
    <w:p w14:paraId="3D47D6C9" w14:textId="38690F0F" w:rsidR="00EC614F" w:rsidRPr="008C7086" w:rsidRDefault="008E730E" w:rsidP="006720B7">
      <w:pPr>
        <w:ind w:left="360" w:hanging="360"/>
        <w:rPr>
          <w:szCs w:val="24"/>
        </w:rPr>
      </w:pPr>
      <w:r>
        <w:rPr>
          <w:szCs w:val="24"/>
        </w:rPr>
        <w:t>3</w:t>
      </w:r>
      <w:r w:rsidR="009907B8">
        <w:rPr>
          <w:szCs w:val="24"/>
        </w:rPr>
        <w:t>.</w:t>
      </w:r>
      <w:r w:rsidR="006720B7">
        <w:rPr>
          <w:szCs w:val="24"/>
        </w:rPr>
        <w:tab/>
      </w:r>
      <w:r w:rsidR="00EC614F" w:rsidRPr="00490AED">
        <w:rPr>
          <w:szCs w:val="24"/>
          <w:u w:val="single"/>
        </w:rPr>
        <w:t>Summary of Supply Modeling and Aquifer Storage and Recovery Information presented at October 2, 2017 Water Commission</w:t>
      </w:r>
      <w:r w:rsidR="00502DDE">
        <w:rPr>
          <w:szCs w:val="24"/>
          <w:u w:val="single"/>
        </w:rPr>
        <w:t xml:space="preserve"> </w:t>
      </w:r>
      <w:r w:rsidR="00502DDE" w:rsidRPr="00502DDE">
        <w:rPr>
          <w:szCs w:val="24"/>
          <w:u w:val="single"/>
        </w:rPr>
        <w:t>Meeting</w:t>
      </w:r>
      <w:r w:rsidR="00EC614F" w:rsidRPr="00490AED">
        <w:rPr>
          <w:szCs w:val="24"/>
          <w:u w:val="single"/>
        </w:rPr>
        <w:t xml:space="preserve"> </w:t>
      </w:r>
    </w:p>
    <w:p w14:paraId="0807BE6E" w14:textId="77777777" w:rsidR="00604419" w:rsidRDefault="00604419" w:rsidP="006720B7">
      <w:pPr>
        <w:pStyle w:val="ListParagraph"/>
        <w:ind w:left="360" w:hanging="360"/>
        <w:rPr>
          <w:szCs w:val="24"/>
        </w:rPr>
      </w:pPr>
    </w:p>
    <w:p w14:paraId="2C213A89" w14:textId="5DC52B63" w:rsidR="0083111A" w:rsidRDefault="0083111A" w:rsidP="0083111A">
      <w:pPr>
        <w:pStyle w:val="Default"/>
      </w:pPr>
      <w:r>
        <w:t>Attachment 1 to this item, S</w:t>
      </w:r>
      <w:r w:rsidRPr="0083111A">
        <w:rPr>
          <w:rFonts w:eastAsiaTheme="minorHAnsi"/>
          <w:sz w:val="23"/>
          <w:szCs w:val="23"/>
        </w:rPr>
        <w:t>ummary and Key Points, Confluence Model Presentation</w:t>
      </w:r>
      <w:r>
        <w:rPr>
          <w:rFonts w:eastAsiaTheme="minorHAnsi"/>
          <w:sz w:val="23"/>
          <w:szCs w:val="23"/>
        </w:rPr>
        <w:t xml:space="preserve">, states four assumptions to the model that will likely need to be further evaluated.  One of these assumptions is how the model treats the city’s surface storage (Loch Lomond Reservoir) and ASR/groundwater storage. </w:t>
      </w:r>
      <w:r>
        <w:t>E</w:t>
      </w:r>
      <w:r w:rsidR="000424B7" w:rsidRPr="00DE1659">
        <w:t>xpla</w:t>
      </w:r>
      <w:r>
        <w:t>in what is meant by risk tolerance as it relates to how the two storage reservoirs would be operated in reality.</w:t>
      </w:r>
    </w:p>
    <w:p w14:paraId="50281493" w14:textId="18DCEBBA" w:rsidR="00604419" w:rsidRPr="00DE1659" w:rsidRDefault="008F0EBD" w:rsidP="00DE1659">
      <w:pPr>
        <w:pStyle w:val="ListParagraph"/>
        <w:numPr>
          <w:ilvl w:val="0"/>
          <w:numId w:val="12"/>
        </w:numPr>
        <w:rPr>
          <w:szCs w:val="24"/>
        </w:rPr>
      </w:pPr>
      <w:r>
        <w:rPr>
          <w:szCs w:val="24"/>
        </w:rPr>
        <w:t>The Confluence mo</w:t>
      </w:r>
      <w:r w:rsidR="0083111A">
        <w:rPr>
          <w:szCs w:val="24"/>
        </w:rPr>
        <w:t xml:space="preserve">del dispatches each water source based on a suite of criteria such as available water, water rights, water quality, etc.  The model is currently set up to dispatch </w:t>
      </w:r>
      <w:r w:rsidR="00502DDE">
        <w:rPr>
          <w:szCs w:val="24"/>
        </w:rPr>
        <w:t>Aquifer Storage and Recovery (</w:t>
      </w:r>
      <w:r w:rsidR="0083111A">
        <w:rPr>
          <w:szCs w:val="24"/>
        </w:rPr>
        <w:t>ASR</w:t>
      </w:r>
      <w:r w:rsidR="00502DDE">
        <w:rPr>
          <w:szCs w:val="24"/>
        </w:rPr>
        <w:t>)</w:t>
      </w:r>
      <w:r w:rsidR="0083111A">
        <w:rPr>
          <w:szCs w:val="24"/>
        </w:rPr>
        <w:t xml:space="preserve"> storage at the same time reservoir water is dispatched, assuming the </w:t>
      </w:r>
      <w:r w:rsidR="002A0F33">
        <w:rPr>
          <w:szCs w:val="24"/>
        </w:rPr>
        <w:t xml:space="preserve">relevant </w:t>
      </w:r>
      <w:r w:rsidR="0083111A">
        <w:rPr>
          <w:szCs w:val="24"/>
        </w:rPr>
        <w:t>criteria are met.  The model does not require th</w:t>
      </w:r>
      <w:r w:rsidR="002A0F33">
        <w:rPr>
          <w:szCs w:val="24"/>
        </w:rPr>
        <w:t>at</w:t>
      </w:r>
      <w:r w:rsidR="0083111A">
        <w:rPr>
          <w:szCs w:val="24"/>
        </w:rPr>
        <w:t xml:space="preserve"> ASR storage be full before it being dispatched to meet demand.  I.e., </w:t>
      </w:r>
      <w:r w:rsidR="002A0F33">
        <w:rPr>
          <w:szCs w:val="24"/>
        </w:rPr>
        <w:t xml:space="preserve">ASR storage may be only </w:t>
      </w:r>
      <w:r w:rsidR="0083111A">
        <w:rPr>
          <w:szCs w:val="24"/>
        </w:rPr>
        <w:t>40% full when a drought is experienced</w:t>
      </w:r>
      <w:r w:rsidR="002A0F33">
        <w:rPr>
          <w:szCs w:val="24"/>
        </w:rPr>
        <w:t>.  T</w:t>
      </w:r>
      <w:r w:rsidR="0083111A">
        <w:rPr>
          <w:szCs w:val="24"/>
        </w:rPr>
        <w:t>he city will need to establish operational policy around when this new source is put into the portfolio of available supply.  If it is drawn</w:t>
      </w:r>
      <w:r w:rsidR="002A0F33">
        <w:rPr>
          <w:szCs w:val="24"/>
        </w:rPr>
        <w:t xml:space="preserve"> </w:t>
      </w:r>
      <w:r w:rsidR="0083111A">
        <w:rPr>
          <w:szCs w:val="24"/>
        </w:rPr>
        <w:t>down prior to being full, it may not be available to meet full drought-demands or be available in subsequent drought years until it reaches a full condition.</w:t>
      </w:r>
      <w:r w:rsidR="002A0F33">
        <w:rPr>
          <w:szCs w:val="24"/>
        </w:rPr>
        <w:t xml:space="preserve">  These are risk-based decisions that will be considered moving forward.</w:t>
      </w:r>
    </w:p>
    <w:p w14:paraId="2CAA343B" w14:textId="77777777" w:rsidR="00EC614F" w:rsidRDefault="00EC614F" w:rsidP="006720B7">
      <w:pPr>
        <w:tabs>
          <w:tab w:val="left" w:pos="1620"/>
        </w:tabs>
        <w:ind w:left="360" w:hanging="360"/>
        <w:rPr>
          <w:szCs w:val="24"/>
        </w:rPr>
      </w:pPr>
    </w:p>
    <w:p w14:paraId="18A27355" w14:textId="77777777" w:rsidR="008E730E" w:rsidRPr="008C7086" w:rsidRDefault="008E730E" w:rsidP="008E730E">
      <w:pPr>
        <w:pStyle w:val="Default"/>
      </w:pPr>
      <w:r w:rsidRPr="008C7086">
        <w:t xml:space="preserve">Commissioner </w:t>
      </w:r>
      <w:r>
        <w:t xml:space="preserve">Schiffrin moved to accept the </w:t>
      </w:r>
      <w:r w:rsidRPr="00F505A8">
        <w:t>Summary of Supply Modeling and Aquifer Storage and Recovery Information presented at October 2, 2017 Water Commission</w:t>
      </w:r>
      <w:r w:rsidRPr="008C7086">
        <w:t xml:space="preserve">. Commissioner Baskin seconded. </w:t>
      </w:r>
    </w:p>
    <w:p w14:paraId="2B2F4AB0" w14:textId="77777777" w:rsidR="008E730E" w:rsidRPr="008C7086" w:rsidRDefault="008E730E" w:rsidP="008E730E">
      <w:pPr>
        <w:pStyle w:val="Default"/>
        <w:tabs>
          <w:tab w:val="left" w:pos="1710"/>
        </w:tabs>
      </w:pPr>
      <w:r w:rsidRPr="008C7086">
        <w:t xml:space="preserve">VOICE VOTE: </w:t>
      </w:r>
      <w:r w:rsidRPr="008C7086">
        <w:tab/>
        <w:t xml:space="preserve">MOTION CARRIED </w:t>
      </w:r>
    </w:p>
    <w:p w14:paraId="50510E5D" w14:textId="77777777" w:rsidR="008E730E" w:rsidRPr="008C7086" w:rsidRDefault="008E730E" w:rsidP="008E730E">
      <w:pPr>
        <w:pStyle w:val="Default"/>
        <w:tabs>
          <w:tab w:val="left" w:pos="1710"/>
        </w:tabs>
      </w:pPr>
      <w:r w:rsidRPr="008C7086">
        <w:t xml:space="preserve">AYES: </w:t>
      </w:r>
      <w:r w:rsidRPr="008C7086">
        <w:tab/>
        <w:t>All.</w:t>
      </w:r>
    </w:p>
    <w:p w14:paraId="50A0EA1D" w14:textId="77777777" w:rsidR="008E730E" w:rsidRPr="008C7086" w:rsidRDefault="008E730E" w:rsidP="008E730E">
      <w:pPr>
        <w:tabs>
          <w:tab w:val="left" w:pos="1710"/>
        </w:tabs>
        <w:rPr>
          <w:szCs w:val="24"/>
        </w:rPr>
      </w:pPr>
      <w:r w:rsidRPr="008C7086">
        <w:rPr>
          <w:szCs w:val="24"/>
        </w:rPr>
        <w:t xml:space="preserve">NOES: </w:t>
      </w:r>
      <w:r w:rsidRPr="008C7086">
        <w:rPr>
          <w:szCs w:val="24"/>
        </w:rPr>
        <w:tab/>
        <w:t>None</w:t>
      </w:r>
    </w:p>
    <w:p w14:paraId="48423CB1" w14:textId="77777777" w:rsidR="008E730E" w:rsidRPr="008C7086" w:rsidRDefault="008E730E" w:rsidP="006720B7">
      <w:pPr>
        <w:tabs>
          <w:tab w:val="left" w:pos="1620"/>
        </w:tabs>
        <w:ind w:left="360" w:hanging="360"/>
        <w:rPr>
          <w:szCs w:val="24"/>
        </w:rPr>
      </w:pPr>
    </w:p>
    <w:p w14:paraId="301F2A31" w14:textId="11696FBE" w:rsidR="004D0217" w:rsidRPr="008C7086" w:rsidRDefault="00EC614F" w:rsidP="006720B7">
      <w:pPr>
        <w:ind w:left="360" w:hanging="360"/>
        <w:rPr>
          <w:szCs w:val="24"/>
        </w:rPr>
      </w:pPr>
      <w:r w:rsidRPr="008C7086">
        <w:rPr>
          <w:szCs w:val="24"/>
        </w:rPr>
        <w:t>7</w:t>
      </w:r>
      <w:r w:rsidR="009907B8">
        <w:rPr>
          <w:szCs w:val="24"/>
        </w:rPr>
        <w:t>.</w:t>
      </w:r>
      <w:r w:rsidR="009907B8">
        <w:rPr>
          <w:szCs w:val="24"/>
        </w:rPr>
        <w:tab/>
      </w:r>
      <w:r w:rsidR="004D0217" w:rsidRPr="00490AED">
        <w:rPr>
          <w:szCs w:val="24"/>
          <w:u w:val="single"/>
        </w:rPr>
        <w:t>Update to the 2015 State of the Water System (continued from October 2, 2017 meeting)</w:t>
      </w:r>
      <w:r w:rsidR="0080010C">
        <w:rPr>
          <w:szCs w:val="24"/>
          <w:u w:val="single"/>
        </w:rPr>
        <w:t xml:space="preserve"> </w:t>
      </w:r>
    </w:p>
    <w:p w14:paraId="36A2761D" w14:textId="77777777" w:rsidR="00604419" w:rsidRPr="006720B7" w:rsidRDefault="00604419" w:rsidP="006720B7">
      <w:pPr>
        <w:rPr>
          <w:szCs w:val="24"/>
        </w:rPr>
      </w:pPr>
    </w:p>
    <w:p w14:paraId="119A07FC" w14:textId="6C116979" w:rsidR="00604419" w:rsidRPr="00DE1659" w:rsidRDefault="00DE1659" w:rsidP="00DE1659">
      <w:pPr>
        <w:rPr>
          <w:szCs w:val="24"/>
        </w:rPr>
      </w:pPr>
      <w:r w:rsidRPr="00DE1659">
        <w:rPr>
          <w:szCs w:val="24"/>
        </w:rPr>
        <w:t xml:space="preserve">Staff </w:t>
      </w:r>
      <w:r w:rsidR="00EB6029">
        <w:rPr>
          <w:szCs w:val="24"/>
        </w:rPr>
        <w:t xml:space="preserve">will </w:t>
      </w:r>
      <w:r w:rsidR="00604419" w:rsidRPr="00DE1659">
        <w:rPr>
          <w:szCs w:val="24"/>
        </w:rPr>
        <w:t xml:space="preserve">include </w:t>
      </w:r>
      <w:r w:rsidR="004B3E22" w:rsidRPr="00DE1659">
        <w:rPr>
          <w:szCs w:val="24"/>
        </w:rPr>
        <w:t xml:space="preserve">additional </w:t>
      </w:r>
      <w:r w:rsidR="00EB6029">
        <w:rPr>
          <w:szCs w:val="24"/>
        </w:rPr>
        <w:t xml:space="preserve">information on the relationship of the following three projects described in the State of the Water System Update to the WSAS work. </w:t>
      </w:r>
      <w:r w:rsidR="00604419" w:rsidRPr="00DE1659">
        <w:rPr>
          <w:szCs w:val="24"/>
        </w:rPr>
        <w:t xml:space="preserve"> </w:t>
      </w:r>
    </w:p>
    <w:p w14:paraId="5D311308" w14:textId="77777777" w:rsidR="00604419" w:rsidRPr="008C7086" w:rsidRDefault="00604419" w:rsidP="006720B7">
      <w:pPr>
        <w:pStyle w:val="ListParagraph"/>
        <w:numPr>
          <w:ilvl w:val="0"/>
          <w:numId w:val="5"/>
        </w:numPr>
        <w:ind w:left="720"/>
        <w:rPr>
          <w:szCs w:val="24"/>
        </w:rPr>
      </w:pPr>
      <w:r w:rsidRPr="008C7086">
        <w:rPr>
          <w:szCs w:val="24"/>
        </w:rPr>
        <w:t>North Coast system as it relates to the as-designed capacity of that line.</w:t>
      </w:r>
    </w:p>
    <w:p w14:paraId="3EB3F47F" w14:textId="77777777" w:rsidR="00604419" w:rsidRPr="008C7086" w:rsidRDefault="00604419" w:rsidP="006720B7">
      <w:pPr>
        <w:pStyle w:val="ListParagraph"/>
        <w:numPr>
          <w:ilvl w:val="0"/>
          <w:numId w:val="5"/>
        </w:numPr>
        <w:ind w:left="720"/>
        <w:rPr>
          <w:szCs w:val="24"/>
        </w:rPr>
      </w:pPr>
      <w:r w:rsidRPr="008C7086">
        <w:rPr>
          <w:szCs w:val="24"/>
        </w:rPr>
        <w:t>North Coast diversion to understand how, once the HC</w:t>
      </w:r>
      <w:r w:rsidR="004B3E22">
        <w:rPr>
          <w:szCs w:val="24"/>
        </w:rPr>
        <w:t>P</w:t>
      </w:r>
      <w:r w:rsidRPr="008C7086">
        <w:rPr>
          <w:szCs w:val="24"/>
        </w:rPr>
        <w:t xml:space="preserve"> is in pla</w:t>
      </w:r>
      <w:r w:rsidR="004B3E22">
        <w:rPr>
          <w:szCs w:val="24"/>
        </w:rPr>
        <w:t>ce, it may become part of the W</w:t>
      </w:r>
      <w:r w:rsidRPr="008C7086">
        <w:rPr>
          <w:szCs w:val="24"/>
        </w:rPr>
        <w:t>SAS system.</w:t>
      </w:r>
    </w:p>
    <w:p w14:paraId="18B776C5" w14:textId="77777777" w:rsidR="00604419" w:rsidRPr="008C7086" w:rsidRDefault="00604419" w:rsidP="006720B7">
      <w:pPr>
        <w:pStyle w:val="ListParagraph"/>
        <w:numPr>
          <w:ilvl w:val="0"/>
          <w:numId w:val="5"/>
        </w:numPr>
        <w:ind w:left="720"/>
        <w:rPr>
          <w:szCs w:val="24"/>
        </w:rPr>
      </w:pPr>
      <w:r w:rsidRPr="008C7086">
        <w:rPr>
          <w:szCs w:val="24"/>
        </w:rPr>
        <w:lastRenderedPageBreak/>
        <w:t xml:space="preserve">Newell Creek </w:t>
      </w:r>
      <w:r w:rsidR="004B3E22">
        <w:rPr>
          <w:szCs w:val="24"/>
        </w:rPr>
        <w:t>D</w:t>
      </w:r>
      <w:r w:rsidRPr="008C7086">
        <w:rPr>
          <w:szCs w:val="24"/>
        </w:rPr>
        <w:t>am</w:t>
      </w:r>
      <w:r w:rsidR="0017046B">
        <w:rPr>
          <w:szCs w:val="24"/>
        </w:rPr>
        <w:t xml:space="preserve"> Inlet/O</w:t>
      </w:r>
      <w:r w:rsidRPr="008C7086">
        <w:rPr>
          <w:szCs w:val="24"/>
        </w:rPr>
        <w:t xml:space="preserve">utlet </w:t>
      </w:r>
      <w:r w:rsidR="004B3E22">
        <w:rPr>
          <w:szCs w:val="24"/>
        </w:rPr>
        <w:t xml:space="preserve">Pipeline Project </w:t>
      </w:r>
      <w:r w:rsidRPr="008C7086">
        <w:rPr>
          <w:szCs w:val="24"/>
        </w:rPr>
        <w:t>input and the ability to fill and extract from Loch Lomond in the future.</w:t>
      </w:r>
    </w:p>
    <w:p w14:paraId="515413BF" w14:textId="77777777" w:rsidR="00604419" w:rsidRPr="008C7086" w:rsidRDefault="00604419" w:rsidP="00604419">
      <w:pPr>
        <w:pStyle w:val="ListParagraph"/>
        <w:rPr>
          <w:szCs w:val="24"/>
        </w:rPr>
      </w:pPr>
    </w:p>
    <w:p w14:paraId="2186585C" w14:textId="7F0D192A" w:rsidR="00604419" w:rsidRPr="00137A72" w:rsidRDefault="00604419" w:rsidP="00137A72">
      <w:pPr>
        <w:rPr>
          <w:szCs w:val="24"/>
        </w:rPr>
      </w:pPr>
      <w:r w:rsidRPr="00DE1659">
        <w:rPr>
          <w:szCs w:val="24"/>
        </w:rPr>
        <w:t xml:space="preserve">Commissioner </w:t>
      </w:r>
      <w:r w:rsidR="00DE1659" w:rsidRPr="00DE1659">
        <w:rPr>
          <w:szCs w:val="24"/>
        </w:rPr>
        <w:t xml:space="preserve">Schiffrin moved to accept </w:t>
      </w:r>
      <w:r w:rsidR="00DE1659">
        <w:rPr>
          <w:szCs w:val="24"/>
        </w:rPr>
        <w:t>the U</w:t>
      </w:r>
      <w:r w:rsidR="00DE1659" w:rsidRPr="00DE1659">
        <w:rPr>
          <w:szCs w:val="24"/>
        </w:rPr>
        <w:t>pdate to the 2015 State of the Water System (continued from October 2, 2017 meeting)</w:t>
      </w:r>
      <w:r w:rsidRPr="00DE1659">
        <w:rPr>
          <w:szCs w:val="24"/>
        </w:rPr>
        <w:t xml:space="preserve"> Commissioner </w:t>
      </w:r>
      <w:r w:rsidR="00DE1659" w:rsidRPr="00DE1659">
        <w:rPr>
          <w:szCs w:val="24"/>
        </w:rPr>
        <w:t>Baskin</w:t>
      </w:r>
      <w:r w:rsidRPr="00DE1659">
        <w:rPr>
          <w:szCs w:val="24"/>
        </w:rPr>
        <w:t xml:space="preserve"> seconded. </w:t>
      </w:r>
    </w:p>
    <w:p w14:paraId="39F89052" w14:textId="77777777" w:rsidR="00604419" w:rsidRPr="00137A72" w:rsidRDefault="00604419" w:rsidP="00137A72">
      <w:pPr>
        <w:rPr>
          <w:szCs w:val="24"/>
        </w:rPr>
      </w:pPr>
      <w:r w:rsidRPr="00137A72">
        <w:rPr>
          <w:szCs w:val="24"/>
        </w:rPr>
        <w:t xml:space="preserve">VOICE VOTE: MOTION CARRIED </w:t>
      </w:r>
    </w:p>
    <w:p w14:paraId="0FC57DE6" w14:textId="77777777" w:rsidR="00604419" w:rsidRPr="00137A72" w:rsidRDefault="00604419" w:rsidP="00137A72">
      <w:pPr>
        <w:rPr>
          <w:szCs w:val="24"/>
        </w:rPr>
      </w:pPr>
      <w:r w:rsidRPr="00137A72">
        <w:rPr>
          <w:szCs w:val="24"/>
        </w:rPr>
        <w:t xml:space="preserve">AYES: </w:t>
      </w:r>
      <w:r w:rsidRPr="00137A72">
        <w:rPr>
          <w:szCs w:val="24"/>
        </w:rPr>
        <w:tab/>
        <w:t>All.</w:t>
      </w:r>
    </w:p>
    <w:p w14:paraId="267B8772" w14:textId="77777777" w:rsidR="00604419" w:rsidRPr="00137A72" w:rsidRDefault="00604419" w:rsidP="00137A72">
      <w:pPr>
        <w:rPr>
          <w:szCs w:val="24"/>
        </w:rPr>
      </w:pPr>
      <w:r w:rsidRPr="00137A72">
        <w:rPr>
          <w:szCs w:val="24"/>
        </w:rPr>
        <w:t xml:space="preserve">NOES: </w:t>
      </w:r>
      <w:r w:rsidRPr="00137A72">
        <w:rPr>
          <w:szCs w:val="24"/>
        </w:rPr>
        <w:tab/>
        <w:t>None</w:t>
      </w:r>
    </w:p>
    <w:p w14:paraId="6C07DE4D" w14:textId="77777777" w:rsidR="00EC614F" w:rsidRPr="008C7086" w:rsidRDefault="00EC614F" w:rsidP="00EC614F">
      <w:pPr>
        <w:tabs>
          <w:tab w:val="left" w:pos="1620"/>
        </w:tabs>
        <w:ind w:left="360"/>
        <w:rPr>
          <w:szCs w:val="24"/>
        </w:rPr>
      </w:pPr>
    </w:p>
    <w:p w14:paraId="5AC0BDC4" w14:textId="601802E2" w:rsidR="002E5D73" w:rsidRPr="008C7086" w:rsidRDefault="005B6077" w:rsidP="00CE0E77">
      <w:pPr>
        <w:ind w:left="360" w:hanging="360"/>
        <w:rPr>
          <w:szCs w:val="24"/>
          <w:u w:val="single"/>
        </w:rPr>
      </w:pPr>
      <w:r>
        <w:rPr>
          <w:szCs w:val="24"/>
        </w:rPr>
        <w:t>8.</w:t>
      </w:r>
      <w:r>
        <w:rPr>
          <w:szCs w:val="24"/>
        </w:rPr>
        <w:tab/>
      </w:r>
      <w:r w:rsidR="002E5D73" w:rsidRPr="00490AED">
        <w:rPr>
          <w:szCs w:val="24"/>
          <w:u w:val="single"/>
        </w:rPr>
        <w:t xml:space="preserve">Presentation by Dudek </w:t>
      </w:r>
      <w:r w:rsidR="00EB6029">
        <w:rPr>
          <w:szCs w:val="24"/>
          <w:u w:val="single"/>
        </w:rPr>
        <w:t>on</w:t>
      </w:r>
      <w:r w:rsidR="002E5D73" w:rsidRPr="00490AED">
        <w:rPr>
          <w:szCs w:val="24"/>
          <w:u w:val="single"/>
        </w:rPr>
        <w:t xml:space="preserve"> Updating the Water Supply Augmentation Strategy, Local Desalination Option</w:t>
      </w:r>
    </w:p>
    <w:p w14:paraId="2F3CEB1C" w14:textId="77777777" w:rsidR="002E5D73" w:rsidRPr="008C7086" w:rsidRDefault="002E5D73" w:rsidP="002E5D73">
      <w:pPr>
        <w:tabs>
          <w:tab w:val="left" w:pos="1620"/>
        </w:tabs>
        <w:rPr>
          <w:szCs w:val="24"/>
          <w:u w:val="single"/>
        </w:rPr>
      </w:pPr>
    </w:p>
    <w:p w14:paraId="4F146205" w14:textId="3ACED03E" w:rsidR="00A367A3" w:rsidRDefault="00220EEC" w:rsidP="005B3E48">
      <w:pPr>
        <w:autoSpaceDE w:val="0"/>
        <w:autoSpaceDN w:val="0"/>
        <w:adjustRightInd w:val="0"/>
        <w:rPr>
          <w:szCs w:val="24"/>
        </w:rPr>
      </w:pPr>
      <w:r>
        <w:rPr>
          <w:szCs w:val="24"/>
        </w:rPr>
        <w:t>Has a</w:t>
      </w:r>
      <w:r w:rsidR="00D81177">
        <w:rPr>
          <w:szCs w:val="24"/>
        </w:rPr>
        <w:t xml:space="preserve"> </w:t>
      </w:r>
      <w:r>
        <w:rPr>
          <w:szCs w:val="24"/>
        </w:rPr>
        <w:t>radial</w:t>
      </w:r>
      <w:r w:rsidR="00D81177">
        <w:rPr>
          <w:szCs w:val="24"/>
        </w:rPr>
        <w:t xml:space="preserve"> collector</w:t>
      </w:r>
      <w:r w:rsidR="001F40B3">
        <w:rPr>
          <w:szCs w:val="24"/>
        </w:rPr>
        <w:t xml:space="preserve"> well</w:t>
      </w:r>
      <w:r w:rsidR="00D81177">
        <w:rPr>
          <w:szCs w:val="24"/>
        </w:rPr>
        <w:t xml:space="preserve"> sy</w:t>
      </w:r>
      <w:r>
        <w:rPr>
          <w:szCs w:val="24"/>
        </w:rPr>
        <w:t xml:space="preserve">stem ever been implemented for </w:t>
      </w:r>
      <w:r w:rsidR="005B3E48">
        <w:rPr>
          <w:szCs w:val="24"/>
        </w:rPr>
        <w:t>subsurface, ocean</w:t>
      </w:r>
      <w:r>
        <w:rPr>
          <w:szCs w:val="24"/>
        </w:rPr>
        <w:t xml:space="preserve"> collection?</w:t>
      </w:r>
    </w:p>
    <w:p w14:paraId="5C013348" w14:textId="2B17B171" w:rsidR="00D81177" w:rsidRPr="0080010C" w:rsidRDefault="00220EEC" w:rsidP="00220EEC">
      <w:pPr>
        <w:pStyle w:val="ListParagraph"/>
        <w:numPr>
          <w:ilvl w:val="0"/>
          <w:numId w:val="12"/>
        </w:numPr>
        <w:autoSpaceDE w:val="0"/>
        <w:autoSpaceDN w:val="0"/>
        <w:adjustRightInd w:val="0"/>
        <w:rPr>
          <w:szCs w:val="24"/>
        </w:rPr>
      </w:pPr>
      <w:r w:rsidRPr="005B3E48">
        <w:rPr>
          <w:szCs w:val="24"/>
        </w:rPr>
        <w:t xml:space="preserve">While this type of </w:t>
      </w:r>
      <w:r w:rsidR="00EB6029">
        <w:rPr>
          <w:szCs w:val="24"/>
        </w:rPr>
        <w:t xml:space="preserve">subsurface </w:t>
      </w:r>
      <w:r w:rsidRPr="005B3E48">
        <w:rPr>
          <w:szCs w:val="24"/>
        </w:rPr>
        <w:t>collector system</w:t>
      </w:r>
      <w:r w:rsidR="00EB6029">
        <w:rPr>
          <w:szCs w:val="24"/>
        </w:rPr>
        <w:t>, which is similar to a Ranney collector</w:t>
      </w:r>
      <w:r w:rsidR="00AA0F09">
        <w:rPr>
          <w:szCs w:val="24"/>
        </w:rPr>
        <w:t xml:space="preserve"> well that was extensively discussed during the WSAC process,</w:t>
      </w:r>
      <w:r w:rsidRPr="005B3E48">
        <w:rPr>
          <w:szCs w:val="24"/>
        </w:rPr>
        <w:t xml:space="preserve"> has not been implemented elsewhere</w:t>
      </w:r>
      <w:r w:rsidR="00D30075">
        <w:rPr>
          <w:szCs w:val="24"/>
        </w:rPr>
        <w:t xml:space="preserve"> in the marine environment</w:t>
      </w:r>
      <w:r w:rsidRPr="005B3E48">
        <w:rPr>
          <w:szCs w:val="24"/>
        </w:rPr>
        <w:t xml:space="preserve">, </w:t>
      </w:r>
      <w:r w:rsidR="00D81177" w:rsidRPr="005B3E48">
        <w:rPr>
          <w:szCs w:val="24"/>
        </w:rPr>
        <w:t xml:space="preserve">experts </w:t>
      </w:r>
      <w:r w:rsidR="00D30075">
        <w:rPr>
          <w:szCs w:val="24"/>
        </w:rPr>
        <w:t>consulted with during the scwd</w:t>
      </w:r>
      <w:r w:rsidR="00D30075" w:rsidRPr="00171BE2">
        <w:rPr>
          <w:szCs w:val="24"/>
          <w:vertAlign w:val="superscript"/>
        </w:rPr>
        <w:t>2</w:t>
      </w:r>
      <w:r w:rsidR="00D30075">
        <w:rPr>
          <w:szCs w:val="24"/>
        </w:rPr>
        <w:t xml:space="preserve"> project were of the opinion that, based on the available information of the hydrogeology and available space, this type of well system may work.  However, g</w:t>
      </w:r>
      <w:r w:rsidRPr="005B3E48">
        <w:rPr>
          <w:szCs w:val="24"/>
        </w:rPr>
        <w:t xml:space="preserve">iven our ocean </w:t>
      </w:r>
      <w:r w:rsidRPr="0080010C">
        <w:rPr>
          <w:szCs w:val="24"/>
        </w:rPr>
        <w:t xml:space="preserve">environment, and the </w:t>
      </w:r>
      <w:r w:rsidR="001F40B3">
        <w:rPr>
          <w:szCs w:val="24"/>
        </w:rPr>
        <w:t xml:space="preserve">nature of the </w:t>
      </w:r>
      <w:r w:rsidRPr="0080010C">
        <w:rPr>
          <w:szCs w:val="24"/>
        </w:rPr>
        <w:t xml:space="preserve">subsurface material, there are concerns about the volume of water </w:t>
      </w:r>
      <w:r w:rsidR="00D30075" w:rsidRPr="0080010C">
        <w:rPr>
          <w:szCs w:val="24"/>
        </w:rPr>
        <w:t xml:space="preserve">such a system </w:t>
      </w:r>
      <w:r w:rsidRPr="0080010C">
        <w:rPr>
          <w:szCs w:val="24"/>
        </w:rPr>
        <w:t xml:space="preserve">will be able to </w:t>
      </w:r>
      <w:r w:rsidR="00D30075" w:rsidRPr="0080010C">
        <w:rPr>
          <w:szCs w:val="24"/>
        </w:rPr>
        <w:t>reliably produce</w:t>
      </w:r>
      <w:r w:rsidRPr="0080010C">
        <w:rPr>
          <w:szCs w:val="24"/>
        </w:rPr>
        <w:t>.</w:t>
      </w:r>
      <w:r w:rsidR="005B3E48" w:rsidRPr="0080010C">
        <w:rPr>
          <w:szCs w:val="24"/>
        </w:rPr>
        <w:t xml:space="preserve"> More study is needed related to </w:t>
      </w:r>
      <w:r w:rsidR="00EB6029" w:rsidRPr="0080010C">
        <w:rPr>
          <w:szCs w:val="24"/>
        </w:rPr>
        <w:t xml:space="preserve">requirements of the </w:t>
      </w:r>
      <w:r w:rsidR="005B3E48" w:rsidRPr="0080010C">
        <w:rPr>
          <w:szCs w:val="24"/>
        </w:rPr>
        <w:t>O</w:t>
      </w:r>
      <w:r w:rsidR="00EB6029" w:rsidRPr="0080010C">
        <w:rPr>
          <w:szCs w:val="24"/>
        </w:rPr>
        <w:t xml:space="preserve">cean </w:t>
      </w:r>
      <w:r w:rsidR="005B3E48" w:rsidRPr="0080010C">
        <w:rPr>
          <w:szCs w:val="24"/>
        </w:rPr>
        <w:t>P</w:t>
      </w:r>
      <w:r w:rsidR="00EB6029" w:rsidRPr="0080010C">
        <w:rPr>
          <w:szCs w:val="24"/>
        </w:rPr>
        <w:t xml:space="preserve">lan </w:t>
      </w:r>
      <w:r w:rsidR="005B3E48" w:rsidRPr="0080010C">
        <w:rPr>
          <w:szCs w:val="24"/>
        </w:rPr>
        <w:t>A</w:t>
      </w:r>
      <w:r w:rsidR="00EB6029" w:rsidRPr="0080010C">
        <w:rPr>
          <w:szCs w:val="24"/>
        </w:rPr>
        <w:t>mendment</w:t>
      </w:r>
      <w:r w:rsidR="0080010C" w:rsidRPr="0080010C">
        <w:rPr>
          <w:szCs w:val="24"/>
        </w:rPr>
        <w:t xml:space="preserve"> (OPA)</w:t>
      </w:r>
      <w:r w:rsidR="00EB6029" w:rsidRPr="0080010C">
        <w:rPr>
          <w:szCs w:val="24"/>
        </w:rPr>
        <w:t xml:space="preserve"> for use of subsurface intakes, particularly on their effectiveness and feasibility.  </w:t>
      </w:r>
    </w:p>
    <w:p w14:paraId="3519265A" w14:textId="77777777" w:rsidR="005B3E48" w:rsidRDefault="005B3E48" w:rsidP="001B5A7C">
      <w:pPr>
        <w:autoSpaceDE w:val="0"/>
        <w:autoSpaceDN w:val="0"/>
        <w:adjustRightInd w:val="0"/>
        <w:rPr>
          <w:szCs w:val="24"/>
        </w:rPr>
      </w:pPr>
    </w:p>
    <w:p w14:paraId="20E11254" w14:textId="46FF0A80" w:rsidR="005B3E48" w:rsidRDefault="005B3E48" w:rsidP="001B5A7C">
      <w:pPr>
        <w:autoSpaceDE w:val="0"/>
        <w:autoSpaceDN w:val="0"/>
        <w:adjustRightInd w:val="0"/>
        <w:rPr>
          <w:szCs w:val="24"/>
        </w:rPr>
      </w:pPr>
      <w:r>
        <w:rPr>
          <w:szCs w:val="24"/>
        </w:rPr>
        <w:t xml:space="preserve">How do you go about determining the cost </w:t>
      </w:r>
      <w:r w:rsidR="00D30075">
        <w:rPr>
          <w:szCs w:val="24"/>
        </w:rPr>
        <w:t xml:space="preserve">of </w:t>
      </w:r>
      <w:r>
        <w:rPr>
          <w:szCs w:val="24"/>
        </w:rPr>
        <w:t xml:space="preserve">construction of a radial collector </w:t>
      </w:r>
      <w:r w:rsidR="001F40B3">
        <w:rPr>
          <w:szCs w:val="24"/>
        </w:rPr>
        <w:t xml:space="preserve">well </w:t>
      </w:r>
      <w:r>
        <w:rPr>
          <w:szCs w:val="24"/>
        </w:rPr>
        <w:t>in a</w:t>
      </w:r>
      <w:r w:rsidR="00885AC3">
        <w:rPr>
          <w:szCs w:val="24"/>
        </w:rPr>
        <w:t xml:space="preserve"> marine </w:t>
      </w:r>
      <w:r>
        <w:rPr>
          <w:szCs w:val="24"/>
        </w:rPr>
        <w:t>environment?</w:t>
      </w:r>
    </w:p>
    <w:p w14:paraId="7588ECDD" w14:textId="7F77C668" w:rsidR="00885AC3" w:rsidRDefault="00EB6029" w:rsidP="00AA5AD1">
      <w:pPr>
        <w:pStyle w:val="ListParagraph"/>
        <w:numPr>
          <w:ilvl w:val="0"/>
          <w:numId w:val="12"/>
        </w:numPr>
        <w:autoSpaceDE w:val="0"/>
        <w:autoSpaceDN w:val="0"/>
        <w:adjustRightInd w:val="0"/>
        <w:rPr>
          <w:szCs w:val="24"/>
        </w:rPr>
      </w:pPr>
      <w:r>
        <w:rPr>
          <w:szCs w:val="24"/>
        </w:rPr>
        <w:t>Staff c</w:t>
      </w:r>
      <w:r w:rsidR="005B3E48" w:rsidRPr="00AA5AD1">
        <w:rPr>
          <w:szCs w:val="24"/>
        </w:rPr>
        <w:t>onsulted with the Ran</w:t>
      </w:r>
      <w:r w:rsidR="008A18C2">
        <w:rPr>
          <w:szCs w:val="24"/>
        </w:rPr>
        <w:t>n</w:t>
      </w:r>
      <w:r w:rsidR="005B3E48" w:rsidRPr="00AA5AD1">
        <w:rPr>
          <w:szCs w:val="24"/>
        </w:rPr>
        <w:t xml:space="preserve">ey </w:t>
      </w:r>
      <w:r w:rsidR="00AA0F09">
        <w:rPr>
          <w:szCs w:val="24"/>
        </w:rPr>
        <w:t>c</w:t>
      </w:r>
      <w:r w:rsidR="005B3E48" w:rsidRPr="00AA5AD1">
        <w:rPr>
          <w:szCs w:val="24"/>
        </w:rPr>
        <w:t>ollector manufacturer</w:t>
      </w:r>
      <w:r w:rsidR="00885AC3">
        <w:rPr>
          <w:szCs w:val="24"/>
        </w:rPr>
        <w:t xml:space="preserve">, </w:t>
      </w:r>
      <w:r w:rsidR="001F40B3">
        <w:rPr>
          <w:szCs w:val="24"/>
        </w:rPr>
        <w:t xml:space="preserve">and </w:t>
      </w:r>
      <w:r w:rsidR="005B3E48" w:rsidRPr="00AA5AD1">
        <w:rPr>
          <w:szCs w:val="24"/>
        </w:rPr>
        <w:t xml:space="preserve">offshore marine engineers </w:t>
      </w:r>
      <w:r w:rsidR="00885AC3">
        <w:rPr>
          <w:szCs w:val="24"/>
        </w:rPr>
        <w:t xml:space="preserve">and contractors to better understand the potential </w:t>
      </w:r>
      <w:r w:rsidR="00AA0F09">
        <w:rPr>
          <w:szCs w:val="24"/>
        </w:rPr>
        <w:t>requirements of this approach</w:t>
      </w:r>
      <w:r w:rsidR="00885AC3">
        <w:rPr>
          <w:szCs w:val="24"/>
        </w:rPr>
        <w:t xml:space="preserve">. </w:t>
      </w:r>
      <w:r w:rsidR="00AA5AD1" w:rsidRPr="00AA5AD1">
        <w:rPr>
          <w:szCs w:val="24"/>
        </w:rPr>
        <w:t>Construction would be similar to that used to build the caissons for the new S</w:t>
      </w:r>
      <w:r w:rsidR="00D30075">
        <w:rPr>
          <w:szCs w:val="24"/>
        </w:rPr>
        <w:t xml:space="preserve">an Francisco </w:t>
      </w:r>
      <w:r w:rsidR="00AA5AD1" w:rsidRPr="00AA5AD1">
        <w:rPr>
          <w:szCs w:val="24"/>
        </w:rPr>
        <w:t xml:space="preserve">Bay Bridge and this example </w:t>
      </w:r>
      <w:r w:rsidR="00AA0F09">
        <w:rPr>
          <w:szCs w:val="24"/>
        </w:rPr>
        <w:t xml:space="preserve">was used </w:t>
      </w:r>
      <w:r w:rsidR="00AA5AD1" w:rsidRPr="00AA5AD1">
        <w:rPr>
          <w:szCs w:val="24"/>
        </w:rPr>
        <w:t xml:space="preserve">to build </w:t>
      </w:r>
      <w:r w:rsidR="00AA0F09">
        <w:rPr>
          <w:szCs w:val="24"/>
        </w:rPr>
        <w:t>a</w:t>
      </w:r>
      <w:r w:rsidR="00AA5AD1" w:rsidRPr="00AA5AD1">
        <w:rPr>
          <w:szCs w:val="24"/>
        </w:rPr>
        <w:t xml:space="preserve"> base cost</w:t>
      </w:r>
      <w:r w:rsidR="00AA0F09">
        <w:rPr>
          <w:szCs w:val="24"/>
        </w:rPr>
        <w:t xml:space="preserve">.  In addition, </w:t>
      </w:r>
      <w:r w:rsidR="00AA5AD1" w:rsidRPr="00AA5AD1">
        <w:rPr>
          <w:szCs w:val="24"/>
        </w:rPr>
        <w:t xml:space="preserve">a higher </w:t>
      </w:r>
      <w:r w:rsidR="00AA0F09">
        <w:rPr>
          <w:szCs w:val="24"/>
        </w:rPr>
        <w:t xml:space="preserve">than normal </w:t>
      </w:r>
      <w:r w:rsidR="00AA5AD1" w:rsidRPr="00AA5AD1">
        <w:rPr>
          <w:szCs w:val="24"/>
        </w:rPr>
        <w:t xml:space="preserve">contingency </w:t>
      </w:r>
      <w:r w:rsidR="00AA0F09">
        <w:rPr>
          <w:szCs w:val="24"/>
        </w:rPr>
        <w:t xml:space="preserve">was built into the cost </w:t>
      </w:r>
      <w:r w:rsidR="00197DBF">
        <w:rPr>
          <w:szCs w:val="24"/>
        </w:rPr>
        <w:t xml:space="preserve">as this </w:t>
      </w:r>
      <w:r w:rsidR="00AA0F09">
        <w:rPr>
          <w:szCs w:val="24"/>
        </w:rPr>
        <w:t xml:space="preserve">approach would be </w:t>
      </w:r>
      <w:r w:rsidR="00197DBF">
        <w:rPr>
          <w:szCs w:val="24"/>
        </w:rPr>
        <w:t>a first of its kind solution</w:t>
      </w:r>
      <w:r w:rsidR="00D30075">
        <w:rPr>
          <w:szCs w:val="24"/>
        </w:rPr>
        <w:t xml:space="preserve"> in the marine environment.</w:t>
      </w:r>
    </w:p>
    <w:p w14:paraId="20F3DE03" w14:textId="77777777" w:rsidR="00885AC3" w:rsidRDefault="00885AC3" w:rsidP="00885AC3">
      <w:pPr>
        <w:autoSpaceDE w:val="0"/>
        <w:autoSpaceDN w:val="0"/>
        <w:adjustRightInd w:val="0"/>
        <w:rPr>
          <w:szCs w:val="24"/>
        </w:rPr>
      </w:pPr>
    </w:p>
    <w:p w14:paraId="4698D927" w14:textId="13DF257A" w:rsidR="00D53D5D" w:rsidRDefault="00D53D5D" w:rsidP="00885AC3">
      <w:pPr>
        <w:autoSpaceDE w:val="0"/>
        <w:autoSpaceDN w:val="0"/>
        <w:adjustRightInd w:val="0"/>
        <w:rPr>
          <w:szCs w:val="24"/>
        </w:rPr>
      </w:pPr>
      <w:r>
        <w:rPr>
          <w:szCs w:val="24"/>
        </w:rPr>
        <w:t>Would it be helpful to go back and revise the base cost estimates from 2012</w:t>
      </w:r>
      <w:r w:rsidR="003A6CAA">
        <w:rPr>
          <w:szCs w:val="24"/>
        </w:rPr>
        <w:t xml:space="preserve"> and is it possible that improvement in technology may bring costs down</w:t>
      </w:r>
      <w:r>
        <w:rPr>
          <w:szCs w:val="24"/>
        </w:rPr>
        <w:t>?</w:t>
      </w:r>
    </w:p>
    <w:p w14:paraId="70CF929E" w14:textId="4142B128" w:rsidR="00885AC3" w:rsidRPr="00D53D5D" w:rsidRDefault="00AA0F09" w:rsidP="00D53D5D">
      <w:pPr>
        <w:pStyle w:val="ListParagraph"/>
        <w:numPr>
          <w:ilvl w:val="0"/>
          <w:numId w:val="12"/>
        </w:numPr>
        <w:autoSpaceDE w:val="0"/>
        <w:autoSpaceDN w:val="0"/>
        <w:adjustRightInd w:val="0"/>
        <w:rPr>
          <w:szCs w:val="24"/>
        </w:rPr>
      </w:pPr>
      <w:r>
        <w:rPr>
          <w:szCs w:val="24"/>
        </w:rPr>
        <w:t>T</w:t>
      </w:r>
      <w:r w:rsidR="000F6CF1">
        <w:rPr>
          <w:szCs w:val="24"/>
        </w:rPr>
        <w:t>he costs from</w:t>
      </w:r>
      <w:r w:rsidR="00D53D5D" w:rsidRPr="00D53D5D">
        <w:rPr>
          <w:szCs w:val="24"/>
        </w:rPr>
        <w:t xml:space="preserve"> the 10% design of the </w:t>
      </w:r>
      <w:r>
        <w:rPr>
          <w:szCs w:val="24"/>
        </w:rPr>
        <w:t xml:space="preserve">2013 </w:t>
      </w:r>
      <w:r w:rsidR="00171BE2">
        <w:rPr>
          <w:szCs w:val="24"/>
        </w:rPr>
        <w:t>scwd</w:t>
      </w:r>
      <w:r w:rsidR="00171BE2" w:rsidRPr="00171BE2">
        <w:rPr>
          <w:szCs w:val="24"/>
          <w:vertAlign w:val="superscript"/>
        </w:rPr>
        <w:t>2</w:t>
      </w:r>
      <w:r>
        <w:rPr>
          <w:szCs w:val="24"/>
        </w:rPr>
        <w:t>d</w:t>
      </w:r>
      <w:r w:rsidR="00D53D5D" w:rsidRPr="00D53D5D">
        <w:rPr>
          <w:szCs w:val="24"/>
        </w:rPr>
        <w:t>esal</w:t>
      </w:r>
      <w:r w:rsidR="000F6CF1">
        <w:rPr>
          <w:szCs w:val="24"/>
        </w:rPr>
        <w:t>ination</w:t>
      </w:r>
      <w:r w:rsidR="00D30075">
        <w:rPr>
          <w:szCs w:val="24"/>
        </w:rPr>
        <w:t xml:space="preserve"> project </w:t>
      </w:r>
      <w:r w:rsidR="008577D5">
        <w:rPr>
          <w:szCs w:val="24"/>
        </w:rPr>
        <w:t xml:space="preserve">were </w:t>
      </w:r>
      <w:r>
        <w:rPr>
          <w:szCs w:val="24"/>
        </w:rPr>
        <w:t xml:space="preserve">used </w:t>
      </w:r>
      <w:r w:rsidR="00D53D5D" w:rsidRPr="00D53D5D">
        <w:rPr>
          <w:szCs w:val="24"/>
        </w:rPr>
        <w:t xml:space="preserve">and </w:t>
      </w:r>
      <w:r>
        <w:rPr>
          <w:szCs w:val="24"/>
        </w:rPr>
        <w:t xml:space="preserve">then </w:t>
      </w:r>
      <w:r w:rsidR="00D53D5D" w:rsidRPr="00D53D5D">
        <w:rPr>
          <w:szCs w:val="24"/>
        </w:rPr>
        <w:t>inflated to reflect more recent experience</w:t>
      </w:r>
      <w:r>
        <w:rPr>
          <w:szCs w:val="24"/>
        </w:rPr>
        <w:t>s</w:t>
      </w:r>
      <w:r w:rsidR="00D53D5D" w:rsidRPr="00D53D5D">
        <w:rPr>
          <w:szCs w:val="24"/>
        </w:rPr>
        <w:t xml:space="preserve"> such as the bid results from the Monterey</w:t>
      </w:r>
      <w:r w:rsidR="00CE1171">
        <w:rPr>
          <w:szCs w:val="24"/>
        </w:rPr>
        <w:t xml:space="preserve"> </w:t>
      </w:r>
      <w:r w:rsidR="00DE047B">
        <w:rPr>
          <w:szCs w:val="24"/>
        </w:rPr>
        <w:t xml:space="preserve">Pure Water </w:t>
      </w:r>
      <w:r w:rsidR="000F6CF1">
        <w:rPr>
          <w:szCs w:val="24"/>
        </w:rPr>
        <w:t>project. These numbers could be further refined</w:t>
      </w:r>
      <w:r w:rsidR="00D30075">
        <w:rPr>
          <w:szCs w:val="24"/>
        </w:rPr>
        <w:t xml:space="preserve"> and should be if this alternative is pursued further.  </w:t>
      </w:r>
    </w:p>
    <w:p w14:paraId="6638B55A" w14:textId="77777777" w:rsidR="00D53D5D" w:rsidRDefault="00D53D5D" w:rsidP="00197DBF">
      <w:pPr>
        <w:autoSpaceDE w:val="0"/>
        <w:autoSpaceDN w:val="0"/>
        <w:adjustRightInd w:val="0"/>
        <w:rPr>
          <w:szCs w:val="24"/>
        </w:rPr>
      </w:pPr>
    </w:p>
    <w:p w14:paraId="28922493" w14:textId="133594E6" w:rsidR="000F6CF1" w:rsidRDefault="000F6CF1" w:rsidP="00197DBF">
      <w:pPr>
        <w:autoSpaceDE w:val="0"/>
        <w:autoSpaceDN w:val="0"/>
        <w:adjustRightInd w:val="0"/>
        <w:rPr>
          <w:szCs w:val="24"/>
        </w:rPr>
      </w:pPr>
      <w:r>
        <w:rPr>
          <w:szCs w:val="24"/>
        </w:rPr>
        <w:t>Since the Commission will be asked to compare the costs between the desal</w:t>
      </w:r>
      <w:r w:rsidR="00B70994">
        <w:rPr>
          <w:szCs w:val="24"/>
        </w:rPr>
        <w:t>ination</w:t>
      </w:r>
      <w:r>
        <w:rPr>
          <w:szCs w:val="24"/>
        </w:rPr>
        <w:t xml:space="preserve"> and </w:t>
      </w:r>
      <w:r w:rsidR="006723BE">
        <w:rPr>
          <w:szCs w:val="24"/>
        </w:rPr>
        <w:t>recycled water options, would</w:t>
      </w:r>
      <w:r>
        <w:rPr>
          <w:szCs w:val="24"/>
        </w:rPr>
        <w:t xml:space="preserve"> it improve our decision making if we had the most current cost estimates for </w:t>
      </w:r>
      <w:r w:rsidR="006723BE">
        <w:rPr>
          <w:szCs w:val="24"/>
        </w:rPr>
        <w:t>all</w:t>
      </w:r>
      <w:r>
        <w:rPr>
          <w:szCs w:val="24"/>
        </w:rPr>
        <w:t xml:space="preserve"> projects?</w:t>
      </w:r>
    </w:p>
    <w:p w14:paraId="0991DDF1" w14:textId="21794EE0" w:rsidR="003A6CAA" w:rsidRDefault="00B70994" w:rsidP="003A6CAA">
      <w:pPr>
        <w:pStyle w:val="ListParagraph"/>
        <w:numPr>
          <w:ilvl w:val="0"/>
          <w:numId w:val="12"/>
        </w:numPr>
        <w:autoSpaceDE w:val="0"/>
        <w:autoSpaceDN w:val="0"/>
        <w:adjustRightInd w:val="0"/>
        <w:rPr>
          <w:szCs w:val="24"/>
        </w:rPr>
      </w:pPr>
      <w:r>
        <w:rPr>
          <w:szCs w:val="24"/>
        </w:rPr>
        <w:t>Yes, i</w:t>
      </w:r>
      <w:r w:rsidR="006723BE">
        <w:rPr>
          <w:szCs w:val="24"/>
        </w:rPr>
        <w:t xml:space="preserve">t is our </w:t>
      </w:r>
      <w:r w:rsidR="0080010C">
        <w:rPr>
          <w:szCs w:val="24"/>
        </w:rPr>
        <w:t>intention</w:t>
      </w:r>
      <w:r w:rsidR="006723BE">
        <w:rPr>
          <w:szCs w:val="24"/>
        </w:rPr>
        <w:t>, once</w:t>
      </w:r>
      <w:r w:rsidR="00F04B87" w:rsidRPr="00CE1171">
        <w:rPr>
          <w:szCs w:val="24"/>
        </w:rPr>
        <w:t xml:space="preserve"> the ASR and In Lieu stud</w:t>
      </w:r>
      <w:r w:rsidR="00AA0F09">
        <w:rPr>
          <w:szCs w:val="24"/>
        </w:rPr>
        <w:t>ies</w:t>
      </w:r>
      <w:r w:rsidR="00F04B87" w:rsidRPr="00CE1171">
        <w:rPr>
          <w:szCs w:val="24"/>
        </w:rPr>
        <w:t xml:space="preserve"> </w:t>
      </w:r>
      <w:r w:rsidR="00AA0F09">
        <w:rPr>
          <w:szCs w:val="24"/>
        </w:rPr>
        <w:t>are</w:t>
      </w:r>
      <w:r w:rsidR="00F04B87" w:rsidRPr="00CE1171">
        <w:rPr>
          <w:szCs w:val="24"/>
        </w:rPr>
        <w:t xml:space="preserve"> completed, to return to all the proposals and re-evaluate the assumptions and basis for the cost estimates</w:t>
      </w:r>
      <w:r>
        <w:rPr>
          <w:szCs w:val="24"/>
        </w:rPr>
        <w:t xml:space="preserve"> to ensure an apples to apples comparison.  </w:t>
      </w:r>
    </w:p>
    <w:p w14:paraId="3BFC256B" w14:textId="77777777" w:rsidR="007D27C8" w:rsidRPr="00CE1171" w:rsidRDefault="007D27C8" w:rsidP="007D27C8">
      <w:pPr>
        <w:pStyle w:val="ListParagraph"/>
        <w:autoSpaceDE w:val="0"/>
        <w:autoSpaceDN w:val="0"/>
        <w:adjustRightInd w:val="0"/>
        <w:rPr>
          <w:szCs w:val="24"/>
        </w:rPr>
      </w:pPr>
    </w:p>
    <w:p w14:paraId="53343C8E" w14:textId="36933182" w:rsidR="006723BE" w:rsidRDefault="007D27C8" w:rsidP="00197DBF">
      <w:pPr>
        <w:autoSpaceDE w:val="0"/>
        <w:autoSpaceDN w:val="0"/>
        <w:adjustRightInd w:val="0"/>
        <w:rPr>
          <w:szCs w:val="24"/>
        </w:rPr>
      </w:pPr>
      <w:r>
        <w:rPr>
          <w:szCs w:val="24"/>
        </w:rPr>
        <w:lastRenderedPageBreak/>
        <w:t xml:space="preserve">With a subsurface, radial </w:t>
      </w:r>
      <w:r w:rsidR="00AA0F09">
        <w:rPr>
          <w:szCs w:val="24"/>
        </w:rPr>
        <w:t>collect</w:t>
      </w:r>
      <w:r w:rsidR="00B70994">
        <w:rPr>
          <w:szCs w:val="24"/>
        </w:rPr>
        <w:t>or</w:t>
      </w:r>
      <w:r w:rsidR="00AA0F09">
        <w:rPr>
          <w:szCs w:val="24"/>
        </w:rPr>
        <w:t xml:space="preserve"> well </w:t>
      </w:r>
      <w:r w:rsidR="00FC7BAE">
        <w:rPr>
          <w:szCs w:val="24"/>
        </w:rPr>
        <w:t xml:space="preserve">never </w:t>
      </w:r>
      <w:r w:rsidR="00B70994">
        <w:rPr>
          <w:szCs w:val="24"/>
        </w:rPr>
        <w:t xml:space="preserve">being </w:t>
      </w:r>
      <w:r w:rsidR="00FC7BAE">
        <w:rPr>
          <w:szCs w:val="24"/>
        </w:rPr>
        <w:t xml:space="preserve">employed </w:t>
      </w:r>
      <w:r>
        <w:rPr>
          <w:szCs w:val="24"/>
        </w:rPr>
        <w:t xml:space="preserve">in a marine </w:t>
      </w:r>
      <w:r w:rsidR="00FC7BAE">
        <w:rPr>
          <w:szCs w:val="24"/>
        </w:rPr>
        <w:t xml:space="preserve">environment, how do we know </w:t>
      </w:r>
      <w:r w:rsidR="001D0EB7">
        <w:rPr>
          <w:szCs w:val="24"/>
        </w:rPr>
        <w:t>if it would be successful</w:t>
      </w:r>
      <w:r w:rsidR="00FC7BAE">
        <w:rPr>
          <w:szCs w:val="24"/>
        </w:rPr>
        <w:t>?</w:t>
      </w:r>
    </w:p>
    <w:p w14:paraId="637E3F80" w14:textId="4A754EEE" w:rsidR="00FC7BAE" w:rsidRPr="00DE009F" w:rsidRDefault="00552122" w:rsidP="00DE009F">
      <w:pPr>
        <w:pStyle w:val="ListParagraph"/>
        <w:numPr>
          <w:ilvl w:val="0"/>
          <w:numId w:val="12"/>
        </w:numPr>
        <w:autoSpaceDE w:val="0"/>
        <w:autoSpaceDN w:val="0"/>
        <w:adjustRightInd w:val="0"/>
        <w:rPr>
          <w:szCs w:val="24"/>
        </w:rPr>
      </w:pPr>
      <w:r>
        <w:rPr>
          <w:szCs w:val="24"/>
        </w:rPr>
        <w:t>Consultants and vendors have indicated that a full scale unit would need to be installed as a type of pilot test of this technology in order to be able to confirm its efficacy.  This is a costly endeavor that may prove the technology is not suitable to this location</w:t>
      </w:r>
      <w:r w:rsidR="000D0D45">
        <w:rPr>
          <w:szCs w:val="24"/>
        </w:rPr>
        <w:t xml:space="preserve"> or does not yield the volumes needed to fill the water supply gap</w:t>
      </w:r>
      <w:r>
        <w:rPr>
          <w:szCs w:val="24"/>
        </w:rPr>
        <w:t xml:space="preserve">.  Additional sampling of the subsurface materials could be performed along with groundwater modeling prior to pilot testing to increase the understanding of this technology prior to excessive capital investments.  That being said, </w:t>
      </w:r>
      <w:r w:rsidR="00375184">
        <w:rPr>
          <w:szCs w:val="24"/>
        </w:rPr>
        <w:t>it remains unclear how the Regional Water Quality Control Board (RWQCB) will interpret a feasibility study on this technology.  To this end staff recommends early consultation with the RWQCB to flesh out the details of this regulation as it relates to this location.</w:t>
      </w:r>
    </w:p>
    <w:p w14:paraId="0C87EA88" w14:textId="77777777" w:rsidR="00DE009F" w:rsidRPr="0080010C" w:rsidRDefault="00DE009F" w:rsidP="0080010C">
      <w:pPr>
        <w:autoSpaceDE w:val="0"/>
        <w:autoSpaceDN w:val="0"/>
        <w:adjustRightInd w:val="0"/>
        <w:rPr>
          <w:szCs w:val="24"/>
        </w:rPr>
      </w:pPr>
    </w:p>
    <w:p w14:paraId="553D1F7F" w14:textId="5707C688" w:rsidR="00CF3A7F" w:rsidRPr="008C7086" w:rsidRDefault="00A9788E" w:rsidP="001E6EC2">
      <w:pPr>
        <w:autoSpaceDE w:val="0"/>
        <w:autoSpaceDN w:val="0"/>
        <w:adjustRightInd w:val="0"/>
        <w:rPr>
          <w:szCs w:val="24"/>
        </w:rPr>
      </w:pPr>
      <w:r>
        <w:rPr>
          <w:szCs w:val="24"/>
        </w:rPr>
        <w:t>What is the</w:t>
      </w:r>
      <w:r w:rsidR="00CF3A7F" w:rsidRPr="008C7086">
        <w:rPr>
          <w:szCs w:val="24"/>
        </w:rPr>
        <w:t xml:space="preserve"> timeline fo</w:t>
      </w:r>
      <w:r w:rsidR="00627BCB" w:rsidRPr="008C7086">
        <w:rPr>
          <w:szCs w:val="24"/>
        </w:rPr>
        <w:t>r making decisions</w:t>
      </w:r>
      <w:r>
        <w:rPr>
          <w:szCs w:val="24"/>
        </w:rPr>
        <w:t xml:space="preserve"> and how </w:t>
      </w:r>
      <w:r w:rsidR="00627BCB" w:rsidRPr="008C7086">
        <w:rPr>
          <w:szCs w:val="24"/>
        </w:rPr>
        <w:t>will needing to decide on the subsurface options affect</w:t>
      </w:r>
      <w:r w:rsidR="00CF3A7F" w:rsidRPr="008C7086">
        <w:rPr>
          <w:szCs w:val="24"/>
        </w:rPr>
        <w:t xml:space="preserve"> the decision making</w:t>
      </w:r>
      <w:r w:rsidR="001B5A7C" w:rsidRPr="008C7086">
        <w:rPr>
          <w:szCs w:val="24"/>
        </w:rPr>
        <w:t xml:space="preserve"> for the project overall</w:t>
      </w:r>
      <w:r w:rsidR="00CF3A7F" w:rsidRPr="008C7086">
        <w:rPr>
          <w:szCs w:val="24"/>
        </w:rPr>
        <w:t>?</w:t>
      </w:r>
      <w:r w:rsidR="00140E0B" w:rsidRPr="008C7086">
        <w:rPr>
          <w:szCs w:val="24"/>
        </w:rPr>
        <w:t xml:space="preserve"> </w:t>
      </w:r>
      <w:r w:rsidR="00627BCB" w:rsidRPr="008C7086">
        <w:rPr>
          <w:szCs w:val="24"/>
        </w:rPr>
        <w:t xml:space="preserve">What backup alternative will </w:t>
      </w:r>
      <w:r>
        <w:rPr>
          <w:szCs w:val="24"/>
        </w:rPr>
        <w:t xml:space="preserve">also </w:t>
      </w:r>
      <w:r w:rsidR="00627BCB" w:rsidRPr="008C7086">
        <w:rPr>
          <w:szCs w:val="24"/>
        </w:rPr>
        <w:t>be</w:t>
      </w:r>
      <w:r>
        <w:rPr>
          <w:szCs w:val="24"/>
        </w:rPr>
        <w:t xml:space="preserve"> considered</w:t>
      </w:r>
      <w:r w:rsidR="00627BCB" w:rsidRPr="008C7086">
        <w:rPr>
          <w:szCs w:val="24"/>
        </w:rPr>
        <w:t>?</w:t>
      </w:r>
      <w:r w:rsidR="00DE009F">
        <w:rPr>
          <w:szCs w:val="24"/>
        </w:rPr>
        <w:t xml:space="preserve"> </w:t>
      </w:r>
    </w:p>
    <w:p w14:paraId="24EE3EE7" w14:textId="4D53866C" w:rsidR="00CF3A7F" w:rsidRPr="005B5A4E" w:rsidRDefault="005B5A4E" w:rsidP="005B5A4E">
      <w:pPr>
        <w:pStyle w:val="ListParagraph"/>
        <w:numPr>
          <w:ilvl w:val="0"/>
          <w:numId w:val="12"/>
        </w:numPr>
        <w:autoSpaceDE w:val="0"/>
        <w:autoSpaceDN w:val="0"/>
        <w:adjustRightInd w:val="0"/>
        <w:rPr>
          <w:szCs w:val="24"/>
        </w:rPr>
      </w:pPr>
      <w:r>
        <w:rPr>
          <w:szCs w:val="24"/>
        </w:rPr>
        <w:t>To be clear, w</w:t>
      </w:r>
      <w:r w:rsidR="00CF3A7F" w:rsidRPr="005B5A4E">
        <w:rPr>
          <w:szCs w:val="24"/>
        </w:rPr>
        <w:t xml:space="preserve">e are not making a decision to move forward with </w:t>
      </w:r>
      <w:r>
        <w:rPr>
          <w:szCs w:val="24"/>
        </w:rPr>
        <w:t>d</w:t>
      </w:r>
      <w:r w:rsidR="00CF3A7F" w:rsidRPr="005B5A4E">
        <w:rPr>
          <w:szCs w:val="24"/>
        </w:rPr>
        <w:t xml:space="preserve">esal at this </w:t>
      </w:r>
      <w:r w:rsidR="004B7302" w:rsidRPr="005B5A4E">
        <w:rPr>
          <w:szCs w:val="24"/>
        </w:rPr>
        <w:t xml:space="preserve">point. </w:t>
      </w:r>
      <w:r w:rsidR="00260FF9">
        <w:rPr>
          <w:szCs w:val="24"/>
        </w:rPr>
        <w:t>We are exploring our</w:t>
      </w:r>
      <w:r>
        <w:rPr>
          <w:szCs w:val="24"/>
        </w:rPr>
        <w:t xml:space="preserve"> backup alternative</w:t>
      </w:r>
      <w:r w:rsidR="00260FF9">
        <w:rPr>
          <w:szCs w:val="24"/>
        </w:rPr>
        <w:t>s</w:t>
      </w:r>
      <w:r>
        <w:rPr>
          <w:szCs w:val="24"/>
        </w:rPr>
        <w:t xml:space="preserve"> as recommended by</w:t>
      </w:r>
      <w:r w:rsidR="008577D5">
        <w:rPr>
          <w:szCs w:val="24"/>
        </w:rPr>
        <w:t xml:space="preserve"> the</w:t>
      </w:r>
      <w:r>
        <w:rPr>
          <w:szCs w:val="24"/>
        </w:rPr>
        <w:t xml:space="preserve"> Water Supply Advisory Committee (WSAC). </w:t>
      </w:r>
      <w:r w:rsidR="00260FF9">
        <w:rPr>
          <w:szCs w:val="24"/>
        </w:rPr>
        <w:t xml:space="preserve">The analysis is needed to make an apples to apples comparison with recycled water as the other backup alternative. The decision on </w:t>
      </w:r>
      <w:r w:rsidR="00805BD2">
        <w:rPr>
          <w:szCs w:val="24"/>
        </w:rPr>
        <w:t>the preferred</w:t>
      </w:r>
      <w:r w:rsidR="00260FF9">
        <w:rPr>
          <w:szCs w:val="24"/>
        </w:rPr>
        <w:t xml:space="preserve"> backup </w:t>
      </w:r>
      <w:r w:rsidR="00805BD2">
        <w:rPr>
          <w:szCs w:val="24"/>
        </w:rPr>
        <w:t>alternative</w:t>
      </w:r>
      <w:r w:rsidR="00260FF9">
        <w:rPr>
          <w:szCs w:val="24"/>
        </w:rPr>
        <w:t xml:space="preserve"> will not be made for another year</w:t>
      </w:r>
      <w:r w:rsidR="002A0F33">
        <w:rPr>
          <w:szCs w:val="24"/>
        </w:rPr>
        <w:t>, plus or minus, following consultations with the RWQCB and a</w:t>
      </w:r>
      <w:r w:rsidR="00140E0B" w:rsidRPr="005B5A4E">
        <w:rPr>
          <w:szCs w:val="24"/>
        </w:rPr>
        <w:t xml:space="preserve">dditional information is needed to compare the cost of the </w:t>
      </w:r>
      <w:r w:rsidR="00A7769F">
        <w:rPr>
          <w:szCs w:val="24"/>
        </w:rPr>
        <w:t>two</w:t>
      </w:r>
      <w:r w:rsidR="001B5A7C" w:rsidRPr="005B5A4E">
        <w:rPr>
          <w:szCs w:val="24"/>
        </w:rPr>
        <w:t xml:space="preserve"> </w:t>
      </w:r>
      <w:r w:rsidR="00A7769F">
        <w:rPr>
          <w:szCs w:val="24"/>
        </w:rPr>
        <w:t>back</w:t>
      </w:r>
      <w:r w:rsidR="00140E0B" w:rsidRPr="005B5A4E">
        <w:rPr>
          <w:szCs w:val="24"/>
        </w:rPr>
        <w:t xml:space="preserve">up </w:t>
      </w:r>
      <w:r w:rsidR="00A7769F">
        <w:rPr>
          <w:szCs w:val="24"/>
        </w:rPr>
        <w:t>alternatives</w:t>
      </w:r>
      <w:r w:rsidR="00140E0B" w:rsidRPr="005B5A4E">
        <w:rPr>
          <w:szCs w:val="24"/>
        </w:rPr>
        <w:t xml:space="preserve">. </w:t>
      </w:r>
    </w:p>
    <w:p w14:paraId="62EFEFBE" w14:textId="77777777" w:rsidR="005B5A4E" w:rsidRDefault="005B5A4E" w:rsidP="001E6EC2">
      <w:pPr>
        <w:autoSpaceDE w:val="0"/>
        <w:autoSpaceDN w:val="0"/>
        <w:adjustRightInd w:val="0"/>
        <w:rPr>
          <w:szCs w:val="24"/>
        </w:rPr>
      </w:pPr>
    </w:p>
    <w:p w14:paraId="29CD4556" w14:textId="47DF2A3C" w:rsidR="00805BD2" w:rsidRDefault="00A82477" w:rsidP="00805BD2">
      <w:pPr>
        <w:autoSpaceDE w:val="0"/>
        <w:autoSpaceDN w:val="0"/>
        <w:adjustRightInd w:val="0"/>
        <w:rPr>
          <w:szCs w:val="24"/>
        </w:rPr>
      </w:pPr>
      <w:r>
        <w:rPr>
          <w:szCs w:val="24"/>
        </w:rPr>
        <w:t xml:space="preserve">Seeing that the cost of a desalination project without a subsurface intake is significantly </w:t>
      </w:r>
      <w:r w:rsidR="001F40B3">
        <w:rPr>
          <w:szCs w:val="24"/>
        </w:rPr>
        <w:t xml:space="preserve">less </w:t>
      </w:r>
      <w:r>
        <w:rPr>
          <w:szCs w:val="24"/>
        </w:rPr>
        <w:t>than a desalination project with a subsurface intake, w</w:t>
      </w:r>
      <w:r w:rsidR="00805BD2">
        <w:rPr>
          <w:szCs w:val="24"/>
        </w:rPr>
        <w:t xml:space="preserve">ill we be able to engage </w:t>
      </w:r>
      <w:r w:rsidR="00C2702B">
        <w:rPr>
          <w:szCs w:val="24"/>
        </w:rPr>
        <w:t xml:space="preserve">in a process </w:t>
      </w:r>
      <w:r w:rsidR="00805BD2">
        <w:rPr>
          <w:szCs w:val="24"/>
        </w:rPr>
        <w:t xml:space="preserve">with the </w:t>
      </w:r>
      <w:r w:rsidR="002A0F33">
        <w:rPr>
          <w:szCs w:val="24"/>
        </w:rPr>
        <w:t>RWQCB</w:t>
      </w:r>
      <w:r w:rsidR="00805BD2">
        <w:rPr>
          <w:szCs w:val="24"/>
        </w:rPr>
        <w:t xml:space="preserve"> </w:t>
      </w:r>
      <w:r w:rsidR="00C2702B">
        <w:rPr>
          <w:szCs w:val="24"/>
        </w:rPr>
        <w:t xml:space="preserve">to better understand what </w:t>
      </w:r>
      <w:r>
        <w:rPr>
          <w:szCs w:val="24"/>
        </w:rPr>
        <w:t>the analysis of subsurface intakes would need to</w:t>
      </w:r>
      <w:r w:rsidR="002A0F33">
        <w:rPr>
          <w:szCs w:val="24"/>
        </w:rPr>
        <w:t xml:space="preserve"> </w:t>
      </w:r>
      <w:r w:rsidR="00C2702B">
        <w:rPr>
          <w:szCs w:val="24"/>
        </w:rPr>
        <w:t>include</w:t>
      </w:r>
      <w:r>
        <w:rPr>
          <w:szCs w:val="24"/>
        </w:rPr>
        <w:t xml:space="preserve"> in order</w:t>
      </w:r>
      <w:r w:rsidR="00C2702B">
        <w:rPr>
          <w:szCs w:val="24"/>
        </w:rPr>
        <w:t xml:space="preserve"> to inform a</w:t>
      </w:r>
      <w:r>
        <w:rPr>
          <w:szCs w:val="24"/>
        </w:rPr>
        <w:t xml:space="preserve">n ultimate decision on backup alternatives?  </w:t>
      </w:r>
    </w:p>
    <w:p w14:paraId="42E9AAA4" w14:textId="605D940A" w:rsidR="001820CD" w:rsidRDefault="002A0F33" w:rsidP="001820CD">
      <w:pPr>
        <w:pStyle w:val="ListParagraph"/>
        <w:numPr>
          <w:ilvl w:val="0"/>
          <w:numId w:val="12"/>
        </w:numPr>
        <w:autoSpaceDE w:val="0"/>
        <w:autoSpaceDN w:val="0"/>
        <w:adjustRightInd w:val="0"/>
        <w:rPr>
          <w:szCs w:val="24"/>
        </w:rPr>
      </w:pPr>
      <w:r>
        <w:rPr>
          <w:szCs w:val="24"/>
        </w:rPr>
        <w:t>W</w:t>
      </w:r>
      <w:r w:rsidR="001820CD">
        <w:rPr>
          <w:szCs w:val="24"/>
        </w:rPr>
        <w:t xml:space="preserve">e have </w:t>
      </w:r>
      <w:r>
        <w:rPr>
          <w:szCs w:val="24"/>
        </w:rPr>
        <w:t xml:space="preserve">a significant amount of information on </w:t>
      </w:r>
      <w:r w:rsidR="001820CD">
        <w:rPr>
          <w:szCs w:val="24"/>
        </w:rPr>
        <w:t>the subsurface</w:t>
      </w:r>
      <w:r>
        <w:rPr>
          <w:szCs w:val="24"/>
        </w:rPr>
        <w:t xml:space="preserve"> intake alternatives from the </w:t>
      </w:r>
      <w:r w:rsidR="001820CD">
        <w:rPr>
          <w:szCs w:val="24"/>
        </w:rPr>
        <w:t xml:space="preserve">work done </w:t>
      </w:r>
      <w:r>
        <w:rPr>
          <w:szCs w:val="24"/>
        </w:rPr>
        <w:t xml:space="preserve">on the </w:t>
      </w:r>
      <w:r w:rsidR="00171BE2">
        <w:rPr>
          <w:szCs w:val="24"/>
        </w:rPr>
        <w:t>scwd</w:t>
      </w:r>
      <w:r w:rsidR="00171BE2" w:rsidRPr="00171BE2">
        <w:rPr>
          <w:szCs w:val="24"/>
          <w:vertAlign w:val="superscript"/>
        </w:rPr>
        <w:t>2</w:t>
      </w:r>
      <w:r>
        <w:rPr>
          <w:szCs w:val="24"/>
        </w:rPr>
        <w:t xml:space="preserve"> desalination project making it fairly straightforward </w:t>
      </w:r>
      <w:r w:rsidR="001820CD">
        <w:rPr>
          <w:szCs w:val="24"/>
        </w:rPr>
        <w:t xml:space="preserve">to make </w:t>
      </w:r>
      <w:r w:rsidR="001F40B3">
        <w:rPr>
          <w:szCs w:val="24"/>
        </w:rPr>
        <w:t xml:space="preserve">a </w:t>
      </w:r>
      <w:r w:rsidR="001820CD">
        <w:rPr>
          <w:szCs w:val="24"/>
        </w:rPr>
        <w:t xml:space="preserve">presentation to the </w:t>
      </w:r>
      <w:r w:rsidR="00805BD2" w:rsidRPr="00C2702B">
        <w:rPr>
          <w:szCs w:val="24"/>
        </w:rPr>
        <w:t xml:space="preserve">Regional Board </w:t>
      </w:r>
      <w:r w:rsidR="001820CD">
        <w:rPr>
          <w:szCs w:val="24"/>
        </w:rPr>
        <w:t>on</w:t>
      </w:r>
      <w:r>
        <w:rPr>
          <w:szCs w:val="24"/>
        </w:rPr>
        <w:t xml:space="preserve"> </w:t>
      </w:r>
      <w:r w:rsidR="00A82477">
        <w:rPr>
          <w:szCs w:val="24"/>
        </w:rPr>
        <w:t xml:space="preserve">subsurface intakes, specifically the collector well alternative.  </w:t>
      </w:r>
      <w:r w:rsidR="001820CD">
        <w:rPr>
          <w:szCs w:val="24"/>
        </w:rPr>
        <w:t xml:space="preserve">We </w:t>
      </w:r>
      <w:r w:rsidR="00D753AC">
        <w:rPr>
          <w:szCs w:val="24"/>
        </w:rPr>
        <w:t>c</w:t>
      </w:r>
      <w:r w:rsidR="001820CD">
        <w:rPr>
          <w:szCs w:val="24"/>
        </w:rPr>
        <w:t xml:space="preserve">ould </w:t>
      </w:r>
      <w:r w:rsidR="00D753AC">
        <w:rPr>
          <w:szCs w:val="24"/>
        </w:rPr>
        <w:t xml:space="preserve">work with them to </w:t>
      </w:r>
      <w:r w:rsidR="001820CD">
        <w:rPr>
          <w:szCs w:val="24"/>
        </w:rPr>
        <w:t xml:space="preserve">negotiate </w:t>
      </w:r>
      <w:r w:rsidR="00D753AC">
        <w:rPr>
          <w:szCs w:val="24"/>
        </w:rPr>
        <w:t xml:space="preserve">requirements for any additional </w:t>
      </w:r>
      <w:r w:rsidR="001820CD">
        <w:rPr>
          <w:szCs w:val="24"/>
        </w:rPr>
        <w:t xml:space="preserve">work </w:t>
      </w:r>
      <w:r w:rsidR="00D753AC">
        <w:rPr>
          <w:szCs w:val="24"/>
        </w:rPr>
        <w:t>that needed to be done</w:t>
      </w:r>
      <w:r w:rsidR="00A82477">
        <w:rPr>
          <w:szCs w:val="24"/>
        </w:rPr>
        <w:t xml:space="preserve"> to demonstrate feasibility, or infeasibility.  </w:t>
      </w:r>
      <w:r w:rsidR="001820CD">
        <w:rPr>
          <w:szCs w:val="24"/>
        </w:rPr>
        <w:t xml:space="preserve"> </w:t>
      </w:r>
    </w:p>
    <w:p w14:paraId="19442A79" w14:textId="77777777" w:rsidR="001230B2" w:rsidRPr="008C7086" w:rsidRDefault="001230B2" w:rsidP="001230B2">
      <w:pPr>
        <w:autoSpaceDE w:val="0"/>
        <w:autoSpaceDN w:val="0"/>
        <w:adjustRightInd w:val="0"/>
        <w:rPr>
          <w:szCs w:val="24"/>
        </w:rPr>
      </w:pPr>
    </w:p>
    <w:p w14:paraId="671E3614" w14:textId="57A75408" w:rsidR="001230B2" w:rsidRPr="008C7086" w:rsidRDefault="00F51941" w:rsidP="001230B2">
      <w:pPr>
        <w:autoSpaceDE w:val="0"/>
        <w:autoSpaceDN w:val="0"/>
        <w:adjustRightInd w:val="0"/>
        <w:rPr>
          <w:szCs w:val="24"/>
        </w:rPr>
      </w:pPr>
      <w:r>
        <w:rPr>
          <w:szCs w:val="24"/>
        </w:rPr>
        <w:t>Is the</w:t>
      </w:r>
      <w:r w:rsidR="00375184">
        <w:rPr>
          <w:szCs w:val="24"/>
        </w:rPr>
        <w:t xml:space="preserve"> Deep Water Desal</w:t>
      </w:r>
      <w:r w:rsidR="00CE0E77">
        <w:rPr>
          <w:szCs w:val="24"/>
        </w:rPr>
        <w:t xml:space="preserve"> </w:t>
      </w:r>
      <w:r w:rsidR="0049639D">
        <w:rPr>
          <w:szCs w:val="24"/>
        </w:rPr>
        <w:t>(DWD)</w:t>
      </w:r>
      <w:r>
        <w:rPr>
          <w:szCs w:val="24"/>
        </w:rPr>
        <w:t xml:space="preserve"> project </w:t>
      </w:r>
      <w:r w:rsidR="001230B2" w:rsidRPr="008C7086">
        <w:rPr>
          <w:szCs w:val="24"/>
        </w:rPr>
        <w:t xml:space="preserve">pursuing similar </w:t>
      </w:r>
      <w:r>
        <w:rPr>
          <w:szCs w:val="24"/>
        </w:rPr>
        <w:t xml:space="preserve">subsurface </w:t>
      </w:r>
      <w:r w:rsidR="001230B2" w:rsidRPr="008C7086">
        <w:rPr>
          <w:szCs w:val="24"/>
        </w:rPr>
        <w:t>intake</w:t>
      </w:r>
      <w:r>
        <w:rPr>
          <w:szCs w:val="24"/>
        </w:rPr>
        <w:t>s</w:t>
      </w:r>
      <w:r w:rsidR="00375184">
        <w:rPr>
          <w:szCs w:val="24"/>
        </w:rPr>
        <w:t>?</w:t>
      </w:r>
    </w:p>
    <w:p w14:paraId="0D0D7A1B" w14:textId="49CF8A1D" w:rsidR="001230B2" w:rsidRDefault="00353350" w:rsidP="00B70994">
      <w:pPr>
        <w:pStyle w:val="ListParagraph"/>
        <w:numPr>
          <w:ilvl w:val="0"/>
          <w:numId w:val="12"/>
        </w:numPr>
        <w:autoSpaceDE w:val="0"/>
        <w:autoSpaceDN w:val="0"/>
        <w:adjustRightInd w:val="0"/>
        <w:rPr>
          <w:szCs w:val="24"/>
        </w:rPr>
      </w:pPr>
      <w:r w:rsidRPr="00353350">
        <w:rPr>
          <w:szCs w:val="24"/>
        </w:rPr>
        <w:t xml:space="preserve">The </w:t>
      </w:r>
      <w:r w:rsidR="00375184">
        <w:rPr>
          <w:szCs w:val="24"/>
        </w:rPr>
        <w:t>proposed open ocean intake for the D</w:t>
      </w:r>
      <w:r w:rsidR="0049639D">
        <w:rPr>
          <w:szCs w:val="24"/>
        </w:rPr>
        <w:t xml:space="preserve">WD </w:t>
      </w:r>
      <w:r w:rsidR="00375184">
        <w:rPr>
          <w:szCs w:val="24"/>
        </w:rPr>
        <w:t xml:space="preserve">project is an abandoned structure that would pull ocean water from a depth at which marine life is supposedly significantly lower than at shallower depths.  The OPA seeks to reduce impacts to marine life and a deep intake would presumably do this.  </w:t>
      </w:r>
      <w:r w:rsidR="00375184" w:rsidRPr="00353350">
        <w:rPr>
          <w:szCs w:val="24"/>
        </w:rPr>
        <w:t xml:space="preserve"> </w:t>
      </w:r>
      <w:r w:rsidR="00375184">
        <w:rPr>
          <w:szCs w:val="24"/>
        </w:rPr>
        <w:t xml:space="preserve">That said, the project is </w:t>
      </w:r>
      <w:r w:rsidR="001F40B3">
        <w:rPr>
          <w:szCs w:val="24"/>
        </w:rPr>
        <w:t xml:space="preserve">also </w:t>
      </w:r>
      <w:r w:rsidR="00375184">
        <w:rPr>
          <w:szCs w:val="24"/>
        </w:rPr>
        <w:t>currently looking at the feasibility of subsurface intakes as required by the O</w:t>
      </w:r>
      <w:r w:rsidRPr="00353350">
        <w:rPr>
          <w:szCs w:val="24"/>
        </w:rPr>
        <w:t xml:space="preserve">cean </w:t>
      </w:r>
      <w:r w:rsidR="00375184">
        <w:rPr>
          <w:szCs w:val="24"/>
        </w:rPr>
        <w:t>P</w:t>
      </w:r>
      <w:r w:rsidRPr="00353350">
        <w:rPr>
          <w:szCs w:val="24"/>
        </w:rPr>
        <w:t xml:space="preserve">lan </w:t>
      </w:r>
      <w:r w:rsidR="00375184">
        <w:rPr>
          <w:szCs w:val="24"/>
        </w:rPr>
        <w:t>A</w:t>
      </w:r>
      <w:r w:rsidRPr="00353350">
        <w:rPr>
          <w:szCs w:val="24"/>
        </w:rPr>
        <w:t>mendment</w:t>
      </w:r>
      <w:r w:rsidR="00F80AEF">
        <w:rPr>
          <w:szCs w:val="24"/>
        </w:rPr>
        <w:t>.</w:t>
      </w:r>
    </w:p>
    <w:p w14:paraId="5912134E" w14:textId="77777777" w:rsidR="007B3D26" w:rsidRDefault="007B3D26" w:rsidP="001230B2">
      <w:pPr>
        <w:autoSpaceDE w:val="0"/>
        <w:autoSpaceDN w:val="0"/>
        <w:adjustRightInd w:val="0"/>
        <w:rPr>
          <w:szCs w:val="24"/>
        </w:rPr>
      </w:pPr>
    </w:p>
    <w:p w14:paraId="257B8BB4" w14:textId="30704BA3" w:rsidR="00E463C2" w:rsidRPr="008C7086" w:rsidRDefault="00E463C2" w:rsidP="001230B2">
      <w:pPr>
        <w:autoSpaceDE w:val="0"/>
        <w:autoSpaceDN w:val="0"/>
        <w:adjustRightInd w:val="0"/>
        <w:rPr>
          <w:szCs w:val="24"/>
        </w:rPr>
      </w:pPr>
      <w:r>
        <w:rPr>
          <w:szCs w:val="24"/>
        </w:rPr>
        <w:t>What is meant by the reference to e</w:t>
      </w:r>
      <w:r w:rsidRPr="008C7086">
        <w:rPr>
          <w:szCs w:val="24"/>
        </w:rPr>
        <w:t xml:space="preserve">nergy recovery as </w:t>
      </w:r>
      <w:r w:rsidR="00F80AEF">
        <w:rPr>
          <w:szCs w:val="24"/>
        </w:rPr>
        <w:t xml:space="preserve">a </w:t>
      </w:r>
      <w:r w:rsidRPr="008C7086">
        <w:rPr>
          <w:szCs w:val="24"/>
        </w:rPr>
        <w:t>design parameter</w:t>
      </w:r>
      <w:r>
        <w:rPr>
          <w:szCs w:val="24"/>
        </w:rPr>
        <w:t xml:space="preserve"> as described on page 8.12 in the report? </w:t>
      </w:r>
    </w:p>
    <w:p w14:paraId="0FAB2F3E" w14:textId="620CF705" w:rsidR="008945A6" w:rsidRPr="00E463C2" w:rsidRDefault="00F80AEF" w:rsidP="00E463C2">
      <w:pPr>
        <w:pStyle w:val="ListParagraph"/>
        <w:numPr>
          <w:ilvl w:val="0"/>
          <w:numId w:val="12"/>
        </w:numPr>
        <w:autoSpaceDE w:val="0"/>
        <w:autoSpaceDN w:val="0"/>
        <w:adjustRightInd w:val="0"/>
        <w:rPr>
          <w:szCs w:val="24"/>
        </w:rPr>
      </w:pPr>
      <w:r>
        <w:rPr>
          <w:szCs w:val="24"/>
        </w:rPr>
        <w:t>Energy recovery devices are frequently installed along with seawater reverse osmosis (RO) units to recoup a portion of the energy required in the RO process.  Water p</w:t>
      </w:r>
      <w:r w:rsidR="00E463C2">
        <w:rPr>
          <w:szCs w:val="24"/>
        </w:rPr>
        <w:t>ressure</w:t>
      </w:r>
      <w:r>
        <w:rPr>
          <w:szCs w:val="24"/>
        </w:rPr>
        <w:t>s</w:t>
      </w:r>
      <w:r w:rsidR="00E463C2">
        <w:rPr>
          <w:szCs w:val="24"/>
        </w:rPr>
        <w:t xml:space="preserve"> must be raised to approximately 1,000 PSI to force </w:t>
      </w:r>
      <w:r>
        <w:rPr>
          <w:szCs w:val="24"/>
        </w:rPr>
        <w:t xml:space="preserve">water </w:t>
      </w:r>
      <w:r w:rsidR="00E463C2">
        <w:rPr>
          <w:szCs w:val="24"/>
        </w:rPr>
        <w:t xml:space="preserve">through </w:t>
      </w:r>
      <w:r>
        <w:rPr>
          <w:szCs w:val="24"/>
        </w:rPr>
        <w:t>RO</w:t>
      </w:r>
      <w:r w:rsidR="00E463C2">
        <w:rPr>
          <w:szCs w:val="24"/>
        </w:rPr>
        <w:t xml:space="preserve"> membrane</w:t>
      </w:r>
      <w:r>
        <w:rPr>
          <w:szCs w:val="24"/>
        </w:rPr>
        <w:t>s</w:t>
      </w:r>
      <w:r w:rsidR="00E463C2">
        <w:rPr>
          <w:szCs w:val="24"/>
        </w:rPr>
        <w:t xml:space="preserve">. The </w:t>
      </w:r>
      <w:r w:rsidR="00A82477">
        <w:rPr>
          <w:szCs w:val="24"/>
        </w:rPr>
        <w:lastRenderedPageBreak/>
        <w:t xml:space="preserve">remaining </w:t>
      </w:r>
      <w:r w:rsidR="00E463C2">
        <w:rPr>
          <w:szCs w:val="24"/>
        </w:rPr>
        <w:t xml:space="preserve">brine retains approximately 900 PSI which can be used to power a </w:t>
      </w:r>
      <w:r w:rsidR="008945A6" w:rsidRPr="00E463C2">
        <w:rPr>
          <w:szCs w:val="24"/>
        </w:rPr>
        <w:t xml:space="preserve">reverse turbine </w:t>
      </w:r>
      <w:r w:rsidR="00E463C2">
        <w:rPr>
          <w:szCs w:val="24"/>
        </w:rPr>
        <w:t>thus</w:t>
      </w:r>
      <w:r w:rsidR="008945A6" w:rsidRPr="00E463C2">
        <w:rPr>
          <w:szCs w:val="24"/>
        </w:rPr>
        <w:t xml:space="preserve"> lowering the overall </w:t>
      </w:r>
      <w:r w:rsidR="00E463C2">
        <w:rPr>
          <w:szCs w:val="24"/>
        </w:rPr>
        <w:t xml:space="preserve">energy </w:t>
      </w:r>
      <w:r w:rsidR="00F44CC9">
        <w:rPr>
          <w:szCs w:val="24"/>
        </w:rPr>
        <w:t>use of the facility</w:t>
      </w:r>
      <w:r>
        <w:rPr>
          <w:szCs w:val="24"/>
        </w:rPr>
        <w:t xml:space="preserve">.  Again, this is </w:t>
      </w:r>
      <w:r w:rsidR="00F44CC9">
        <w:rPr>
          <w:szCs w:val="24"/>
        </w:rPr>
        <w:t xml:space="preserve">standard </w:t>
      </w:r>
      <w:r>
        <w:rPr>
          <w:szCs w:val="24"/>
        </w:rPr>
        <w:t>practice in</w:t>
      </w:r>
      <w:r w:rsidR="00F44CC9">
        <w:rPr>
          <w:szCs w:val="24"/>
        </w:rPr>
        <w:t xml:space="preserve"> modern facilities.</w:t>
      </w:r>
    </w:p>
    <w:p w14:paraId="35400F80" w14:textId="77777777" w:rsidR="008945A6" w:rsidRPr="008C7086" w:rsidRDefault="008945A6" w:rsidP="001230B2">
      <w:pPr>
        <w:autoSpaceDE w:val="0"/>
        <w:autoSpaceDN w:val="0"/>
        <w:adjustRightInd w:val="0"/>
        <w:rPr>
          <w:szCs w:val="24"/>
        </w:rPr>
      </w:pPr>
    </w:p>
    <w:p w14:paraId="759F8141" w14:textId="4C0D7A6D" w:rsidR="008945A6" w:rsidRPr="008C7086" w:rsidRDefault="00846B99" w:rsidP="008945A6">
      <w:pPr>
        <w:autoSpaceDE w:val="0"/>
        <w:autoSpaceDN w:val="0"/>
        <w:adjustRightInd w:val="0"/>
        <w:rPr>
          <w:szCs w:val="24"/>
        </w:rPr>
      </w:pPr>
      <w:r>
        <w:rPr>
          <w:szCs w:val="24"/>
        </w:rPr>
        <w:t>Page 8.16 of t</w:t>
      </w:r>
      <w:r w:rsidR="00F80AEF">
        <w:rPr>
          <w:szCs w:val="24"/>
        </w:rPr>
        <w:t>he Dudek report states that the Integrated Water Plan (circa 2003) considered</w:t>
      </w:r>
      <w:r w:rsidR="008945A6" w:rsidRPr="008C7086">
        <w:rPr>
          <w:szCs w:val="24"/>
        </w:rPr>
        <w:t xml:space="preserve"> Oly</w:t>
      </w:r>
      <w:r w:rsidR="00E463C2">
        <w:rPr>
          <w:szCs w:val="24"/>
        </w:rPr>
        <w:t>m</w:t>
      </w:r>
      <w:r w:rsidR="008945A6" w:rsidRPr="008C7086">
        <w:rPr>
          <w:szCs w:val="24"/>
        </w:rPr>
        <w:t>pia Quarry</w:t>
      </w:r>
      <w:r w:rsidR="00F80AEF">
        <w:rPr>
          <w:szCs w:val="24"/>
        </w:rPr>
        <w:t xml:space="preserve"> as a groundwater storage location</w:t>
      </w:r>
      <w:r>
        <w:rPr>
          <w:szCs w:val="24"/>
        </w:rPr>
        <w:t>.  I</w:t>
      </w:r>
      <w:r w:rsidR="008945A6" w:rsidRPr="008C7086">
        <w:rPr>
          <w:szCs w:val="24"/>
        </w:rPr>
        <w:t xml:space="preserve">s this </w:t>
      </w:r>
      <w:r w:rsidR="00F44CC9">
        <w:rPr>
          <w:szCs w:val="24"/>
        </w:rPr>
        <w:t xml:space="preserve">site </w:t>
      </w:r>
      <w:r w:rsidR="008945A6" w:rsidRPr="008C7086">
        <w:rPr>
          <w:szCs w:val="24"/>
        </w:rPr>
        <w:t>a viable opportunity</w:t>
      </w:r>
      <w:r w:rsidR="00F44CC9">
        <w:rPr>
          <w:szCs w:val="24"/>
        </w:rPr>
        <w:t xml:space="preserve"> for Aquifer Storage and Recovery (ASR)</w:t>
      </w:r>
      <w:r w:rsidR="008945A6" w:rsidRPr="008C7086">
        <w:rPr>
          <w:szCs w:val="24"/>
        </w:rPr>
        <w:t>?</w:t>
      </w:r>
      <w:r w:rsidR="00E463C2">
        <w:rPr>
          <w:szCs w:val="24"/>
        </w:rPr>
        <w:t xml:space="preserve"> </w:t>
      </w:r>
    </w:p>
    <w:p w14:paraId="032EA011" w14:textId="28D80976" w:rsidR="008945A6" w:rsidRPr="00F44CC9" w:rsidRDefault="00F44CC9" w:rsidP="00F44CC9">
      <w:pPr>
        <w:pStyle w:val="ListParagraph"/>
        <w:numPr>
          <w:ilvl w:val="0"/>
          <w:numId w:val="12"/>
        </w:numPr>
        <w:autoSpaceDE w:val="0"/>
        <w:autoSpaceDN w:val="0"/>
        <w:adjustRightInd w:val="0"/>
        <w:rPr>
          <w:szCs w:val="24"/>
        </w:rPr>
      </w:pPr>
      <w:r>
        <w:rPr>
          <w:szCs w:val="24"/>
        </w:rPr>
        <w:t xml:space="preserve">San Lorenzo Valley Water District operates wells at the Olympia Quarry </w:t>
      </w:r>
      <w:r w:rsidR="000A7061">
        <w:rPr>
          <w:szCs w:val="24"/>
        </w:rPr>
        <w:t xml:space="preserve">and in the </w:t>
      </w:r>
      <w:r w:rsidR="00846B99">
        <w:rPr>
          <w:szCs w:val="24"/>
        </w:rPr>
        <w:t>ASR di</w:t>
      </w:r>
      <w:r w:rsidR="000A7061">
        <w:rPr>
          <w:szCs w:val="24"/>
        </w:rPr>
        <w:t xml:space="preserve">scussion </w:t>
      </w:r>
      <w:r w:rsidR="00846B99">
        <w:rPr>
          <w:szCs w:val="24"/>
        </w:rPr>
        <w:t>held at t</w:t>
      </w:r>
      <w:r w:rsidR="000A7061">
        <w:rPr>
          <w:szCs w:val="24"/>
        </w:rPr>
        <w:t xml:space="preserve">he October </w:t>
      </w:r>
      <w:r w:rsidR="00846B99">
        <w:rPr>
          <w:szCs w:val="24"/>
        </w:rPr>
        <w:t xml:space="preserve">Water Commission </w:t>
      </w:r>
      <w:r w:rsidR="000A7061">
        <w:rPr>
          <w:szCs w:val="24"/>
        </w:rPr>
        <w:t xml:space="preserve">meeting, </w:t>
      </w:r>
      <w:r w:rsidR="008945A6" w:rsidRPr="00F44CC9">
        <w:rPr>
          <w:szCs w:val="24"/>
        </w:rPr>
        <w:t xml:space="preserve">no </w:t>
      </w:r>
      <w:r w:rsidR="000A7061">
        <w:rPr>
          <w:szCs w:val="24"/>
        </w:rPr>
        <w:t xml:space="preserve">potential </w:t>
      </w:r>
      <w:r w:rsidR="008945A6" w:rsidRPr="00F44CC9">
        <w:rPr>
          <w:szCs w:val="24"/>
        </w:rPr>
        <w:t xml:space="preserve">sites were identified </w:t>
      </w:r>
      <w:r w:rsidR="000A7061">
        <w:rPr>
          <w:szCs w:val="24"/>
        </w:rPr>
        <w:t>in that location</w:t>
      </w:r>
      <w:r w:rsidR="008945A6" w:rsidRPr="00F44CC9">
        <w:rPr>
          <w:szCs w:val="24"/>
        </w:rPr>
        <w:t>.</w:t>
      </w:r>
      <w:r w:rsidR="00F207E1">
        <w:rPr>
          <w:szCs w:val="24"/>
        </w:rPr>
        <w:t xml:space="preserve"> This location may still be feasible</w:t>
      </w:r>
      <w:r w:rsidR="00846B99">
        <w:rPr>
          <w:szCs w:val="24"/>
        </w:rPr>
        <w:t>; no sites have been ruled out at th</w:t>
      </w:r>
      <w:r w:rsidR="00F207E1">
        <w:rPr>
          <w:szCs w:val="24"/>
        </w:rPr>
        <w:t>is point in time</w:t>
      </w:r>
      <w:r w:rsidR="001F40B3">
        <w:rPr>
          <w:szCs w:val="24"/>
        </w:rPr>
        <w:t>.</w:t>
      </w:r>
    </w:p>
    <w:p w14:paraId="2EBF4C9F" w14:textId="77777777" w:rsidR="008945A6" w:rsidRPr="008C7086" w:rsidRDefault="008945A6" w:rsidP="008945A6">
      <w:pPr>
        <w:autoSpaceDE w:val="0"/>
        <w:autoSpaceDN w:val="0"/>
        <w:adjustRightInd w:val="0"/>
        <w:rPr>
          <w:szCs w:val="24"/>
        </w:rPr>
      </w:pPr>
      <w:bookmarkStart w:id="0" w:name="_GoBack"/>
      <w:bookmarkEnd w:id="0"/>
    </w:p>
    <w:p w14:paraId="7BEB3C30" w14:textId="5A36B07E" w:rsidR="008945A6" w:rsidRPr="008C7086" w:rsidRDefault="00846B99" w:rsidP="008945A6">
      <w:pPr>
        <w:autoSpaceDE w:val="0"/>
        <w:autoSpaceDN w:val="0"/>
        <w:adjustRightInd w:val="0"/>
        <w:rPr>
          <w:szCs w:val="24"/>
        </w:rPr>
      </w:pPr>
      <w:r>
        <w:rPr>
          <w:szCs w:val="24"/>
        </w:rPr>
        <w:t xml:space="preserve">The </w:t>
      </w:r>
      <w:r w:rsidR="0049639D">
        <w:rPr>
          <w:szCs w:val="24"/>
        </w:rPr>
        <w:t>DWD</w:t>
      </w:r>
      <w:r w:rsidR="00CE0E77">
        <w:rPr>
          <w:szCs w:val="24"/>
        </w:rPr>
        <w:t xml:space="preserve"> </w:t>
      </w:r>
      <w:r w:rsidR="00076667">
        <w:rPr>
          <w:szCs w:val="24"/>
        </w:rPr>
        <w:t xml:space="preserve">design includes </w:t>
      </w:r>
      <w:r w:rsidR="00050A7A">
        <w:rPr>
          <w:szCs w:val="24"/>
        </w:rPr>
        <w:t xml:space="preserve">a </w:t>
      </w:r>
      <w:r w:rsidR="008945A6" w:rsidRPr="008C7086">
        <w:rPr>
          <w:szCs w:val="24"/>
        </w:rPr>
        <w:t>data center</w:t>
      </w:r>
      <w:r>
        <w:rPr>
          <w:szCs w:val="24"/>
        </w:rPr>
        <w:t xml:space="preserve"> which would provide the benefit of warming the sea</w:t>
      </w:r>
      <w:r w:rsidR="008945A6" w:rsidRPr="008C7086">
        <w:rPr>
          <w:szCs w:val="24"/>
        </w:rPr>
        <w:t xml:space="preserve">water </w:t>
      </w:r>
      <w:r>
        <w:rPr>
          <w:szCs w:val="24"/>
        </w:rPr>
        <w:t>as it acts as a cooling system to the data center.  This would</w:t>
      </w:r>
      <w:r w:rsidR="008945A6" w:rsidRPr="008C7086">
        <w:rPr>
          <w:szCs w:val="24"/>
        </w:rPr>
        <w:t xml:space="preserve"> </w:t>
      </w:r>
      <w:r w:rsidR="001B5A7C" w:rsidRPr="008C7086">
        <w:rPr>
          <w:szCs w:val="24"/>
        </w:rPr>
        <w:t>improve</w:t>
      </w:r>
      <w:r w:rsidR="00050A7A">
        <w:rPr>
          <w:szCs w:val="24"/>
        </w:rPr>
        <w:t xml:space="preserve"> efficiency and is discussed on page 8.23. W</w:t>
      </w:r>
      <w:r w:rsidR="008945A6" w:rsidRPr="008C7086">
        <w:rPr>
          <w:szCs w:val="24"/>
        </w:rPr>
        <w:t>oul</w:t>
      </w:r>
      <w:r w:rsidR="001B5A7C" w:rsidRPr="008C7086">
        <w:rPr>
          <w:szCs w:val="24"/>
        </w:rPr>
        <w:t xml:space="preserve">d the discharge water </w:t>
      </w:r>
      <w:r w:rsidR="00050A7A">
        <w:rPr>
          <w:szCs w:val="24"/>
        </w:rPr>
        <w:t xml:space="preserve">back to the ocean </w:t>
      </w:r>
      <w:r w:rsidR="001B5A7C" w:rsidRPr="008C7086">
        <w:rPr>
          <w:szCs w:val="24"/>
        </w:rPr>
        <w:t>be warmer</w:t>
      </w:r>
      <w:r w:rsidR="00050A7A">
        <w:rPr>
          <w:szCs w:val="24"/>
        </w:rPr>
        <w:t xml:space="preserve"> and would this need to be mitigated</w:t>
      </w:r>
      <w:r w:rsidR="008945A6" w:rsidRPr="008C7086">
        <w:rPr>
          <w:szCs w:val="24"/>
        </w:rPr>
        <w:t>?</w:t>
      </w:r>
      <w:r w:rsidR="00F207E1">
        <w:rPr>
          <w:szCs w:val="24"/>
        </w:rPr>
        <w:t xml:space="preserve"> </w:t>
      </w:r>
      <w:r w:rsidR="00342B06">
        <w:rPr>
          <w:szCs w:val="24"/>
        </w:rPr>
        <w:t xml:space="preserve">Is the data center included in the project? </w:t>
      </w:r>
    </w:p>
    <w:p w14:paraId="0A70F8C6" w14:textId="7F1DC695" w:rsidR="008945A6" w:rsidRDefault="00846B99" w:rsidP="00050A7A">
      <w:pPr>
        <w:pStyle w:val="ListParagraph"/>
        <w:numPr>
          <w:ilvl w:val="0"/>
          <w:numId w:val="12"/>
        </w:numPr>
        <w:autoSpaceDE w:val="0"/>
        <w:autoSpaceDN w:val="0"/>
        <w:adjustRightInd w:val="0"/>
        <w:rPr>
          <w:szCs w:val="24"/>
        </w:rPr>
      </w:pPr>
      <w:r>
        <w:rPr>
          <w:szCs w:val="24"/>
        </w:rPr>
        <w:t>Th</w:t>
      </w:r>
      <w:r w:rsidR="00577EAA">
        <w:rPr>
          <w:szCs w:val="24"/>
        </w:rPr>
        <w:t xml:space="preserve">e </w:t>
      </w:r>
      <w:r w:rsidR="00AF0E2B">
        <w:rPr>
          <w:szCs w:val="24"/>
        </w:rPr>
        <w:t xml:space="preserve">temperature </w:t>
      </w:r>
      <w:r>
        <w:rPr>
          <w:szCs w:val="24"/>
        </w:rPr>
        <w:t>increase resulting from the RO process is</w:t>
      </w:r>
      <w:r w:rsidR="00950259">
        <w:rPr>
          <w:szCs w:val="24"/>
        </w:rPr>
        <w:t xml:space="preserve"> negligible</w:t>
      </w:r>
      <w:r>
        <w:rPr>
          <w:szCs w:val="24"/>
        </w:rPr>
        <w:t xml:space="preserve"> and, as demonstrated at other facilities, </w:t>
      </w:r>
      <w:r w:rsidR="00A82477">
        <w:rPr>
          <w:szCs w:val="24"/>
        </w:rPr>
        <w:t xml:space="preserve">we assume </w:t>
      </w:r>
      <w:r>
        <w:rPr>
          <w:szCs w:val="24"/>
        </w:rPr>
        <w:t>would</w:t>
      </w:r>
      <w:r w:rsidR="0094583E">
        <w:rPr>
          <w:szCs w:val="24"/>
        </w:rPr>
        <w:t xml:space="preserve"> not be an issue</w:t>
      </w:r>
      <w:r w:rsidR="00A82477">
        <w:rPr>
          <w:szCs w:val="24"/>
        </w:rPr>
        <w:t xml:space="preserve"> requiring</w:t>
      </w:r>
      <w:r>
        <w:rPr>
          <w:szCs w:val="24"/>
        </w:rPr>
        <w:t xml:space="preserve"> mitigation.</w:t>
      </w:r>
    </w:p>
    <w:p w14:paraId="2B0476CF" w14:textId="77777777" w:rsidR="00342B06" w:rsidRPr="00CE0E77" w:rsidRDefault="00342B06" w:rsidP="00050A7A">
      <w:pPr>
        <w:pStyle w:val="ListParagraph"/>
        <w:numPr>
          <w:ilvl w:val="0"/>
          <w:numId w:val="12"/>
        </w:numPr>
        <w:autoSpaceDE w:val="0"/>
        <w:autoSpaceDN w:val="0"/>
        <w:adjustRightInd w:val="0"/>
        <w:rPr>
          <w:szCs w:val="24"/>
        </w:rPr>
      </w:pPr>
      <w:r>
        <w:rPr>
          <w:szCs w:val="24"/>
        </w:rPr>
        <w:t xml:space="preserve">The </w:t>
      </w:r>
      <w:r w:rsidR="0049639D">
        <w:rPr>
          <w:szCs w:val="24"/>
        </w:rPr>
        <w:t>DWD</w:t>
      </w:r>
      <w:r>
        <w:rPr>
          <w:szCs w:val="24"/>
        </w:rPr>
        <w:t xml:space="preserve"> project has been described as including a data center.  However, the description of the project and associated costs provided by DWD staff at the time of this analysis do not include the data center.  Staff received no indication that this decision was final and assumes that a data center would in fact be included in a final project, likely </w:t>
      </w:r>
      <w:r w:rsidRPr="00CE0E77">
        <w:rPr>
          <w:szCs w:val="24"/>
        </w:rPr>
        <w:t>having the effect of reducing the unit cost.</w:t>
      </w:r>
    </w:p>
    <w:p w14:paraId="654EA37C" w14:textId="77777777" w:rsidR="008945A6" w:rsidRPr="00CE0E77" w:rsidRDefault="008945A6" w:rsidP="008945A6">
      <w:pPr>
        <w:autoSpaceDE w:val="0"/>
        <w:autoSpaceDN w:val="0"/>
        <w:adjustRightInd w:val="0"/>
        <w:rPr>
          <w:szCs w:val="24"/>
        </w:rPr>
      </w:pPr>
    </w:p>
    <w:p w14:paraId="14E2C668" w14:textId="2A32618D" w:rsidR="00852800" w:rsidRPr="00CE0E77" w:rsidRDefault="00577EAA" w:rsidP="008945A6">
      <w:pPr>
        <w:autoSpaceDE w:val="0"/>
        <w:autoSpaceDN w:val="0"/>
        <w:adjustRightInd w:val="0"/>
        <w:rPr>
          <w:szCs w:val="24"/>
        </w:rPr>
      </w:pPr>
      <w:r w:rsidRPr="00CE0E77">
        <w:rPr>
          <w:szCs w:val="24"/>
        </w:rPr>
        <w:t>If the Pure Water</w:t>
      </w:r>
      <w:r w:rsidR="00A82477" w:rsidRPr="00CE0E77">
        <w:rPr>
          <w:szCs w:val="24"/>
        </w:rPr>
        <w:t xml:space="preserve"> Soquel</w:t>
      </w:r>
      <w:r w:rsidRPr="00CE0E77">
        <w:rPr>
          <w:szCs w:val="24"/>
        </w:rPr>
        <w:t xml:space="preserve"> project is pursued, will </w:t>
      </w:r>
      <w:r w:rsidR="00A82477" w:rsidRPr="00CE0E77">
        <w:rPr>
          <w:szCs w:val="24"/>
        </w:rPr>
        <w:t xml:space="preserve">there </w:t>
      </w:r>
      <w:r w:rsidR="00CE0E77" w:rsidRPr="00CE0E77">
        <w:rPr>
          <w:szCs w:val="24"/>
        </w:rPr>
        <w:t>be enough</w:t>
      </w:r>
      <w:r w:rsidRPr="00CE0E77">
        <w:rPr>
          <w:szCs w:val="24"/>
        </w:rPr>
        <w:t xml:space="preserve"> treated wastewater to </w:t>
      </w:r>
      <w:r w:rsidR="008E0650" w:rsidRPr="00CE0E77">
        <w:rPr>
          <w:szCs w:val="24"/>
        </w:rPr>
        <w:t xml:space="preserve">perform the dilution necessary </w:t>
      </w:r>
      <w:r w:rsidR="00A82477" w:rsidRPr="00CE0E77">
        <w:rPr>
          <w:szCs w:val="24"/>
        </w:rPr>
        <w:t xml:space="preserve">for a desalination project </w:t>
      </w:r>
      <w:r w:rsidR="008E0650" w:rsidRPr="00CE0E77">
        <w:rPr>
          <w:szCs w:val="24"/>
        </w:rPr>
        <w:t xml:space="preserve">and will the </w:t>
      </w:r>
      <w:r w:rsidR="00A72341" w:rsidRPr="00CE0E77">
        <w:rPr>
          <w:szCs w:val="24"/>
        </w:rPr>
        <w:t>b</w:t>
      </w:r>
      <w:r w:rsidR="008945A6" w:rsidRPr="00CE0E77">
        <w:rPr>
          <w:szCs w:val="24"/>
        </w:rPr>
        <w:t xml:space="preserve">rine </w:t>
      </w:r>
      <w:r w:rsidR="00A72341" w:rsidRPr="00CE0E77">
        <w:rPr>
          <w:szCs w:val="24"/>
        </w:rPr>
        <w:t>d</w:t>
      </w:r>
      <w:r w:rsidR="00B93139" w:rsidRPr="00CE0E77">
        <w:rPr>
          <w:szCs w:val="24"/>
        </w:rPr>
        <w:t>ilution</w:t>
      </w:r>
      <w:r w:rsidR="008945A6" w:rsidRPr="00CE0E77">
        <w:rPr>
          <w:szCs w:val="24"/>
        </w:rPr>
        <w:t xml:space="preserve"> math</w:t>
      </w:r>
      <w:r w:rsidR="008E0650" w:rsidRPr="00CE0E77">
        <w:rPr>
          <w:szCs w:val="24"/>
        </w:rPr>
        <w:t xml:space="preserve"> pencil out? How much wastewater do we have available for this backup alternative? </w:t>
      </w:r>
    </w:p>
    <w:p w14:paraId="45ACC909" w14:textId="543E846C" w:rsidR="00591A1D" w:rsidRPr="00CE0E77" w:rsidRDefault="00A82477" w:rsidP="00CE0E77">
      <w:pPr>
        <w:pStyle w:val="ListParagraph"/>
        <w:numPr>
          <w:ilvl w:val="0"/>
          <w:numId w:val="13"/>
        </w:numPr>
      </w:pPr>
      <w:r w:rsidRPr="00CE0E77">
        <w:t xml:space="preserve">The Dilution Analysis conducted for the </w:t>
      </w:r>
      <w:r w:rsidR="00171BE2">
        <w:rPr>
          <w:szCs w:val="24"/>
        </w:rPr>
        <w:t>scwd</w:t>
      </w:r>
      <w:r w:rsidR="00171BE2" w:rsidRPr="00171BE2">
        <w:rPr>
          <w:szCs w:val="24"/>
          <w:vertAlign w:val="superscript"/>
        </w:rPr>
        <w:t>2</w:t>
      </w:r>
      <w:r w:rsidRPr="00CE0E77">
        <w:t xml:space="preserve"> project would need to be updated with current conditions including assumptions about the Pure Water Soquel project. The previous analysis concluded that dilution requirements could be met although brine storage tanks were needed as part of the </w:t>
      </w:r>
      <w:r w:rsidR="00171BE2">
        <w:rPr>
          <w:szCs w:val="24"/>
        </w:rPr>
        <w:t>scwd</w:t>
      </w:r>
      <w:r w:rsidR="00171BE2" w:rsidRPr="00171BE2">
        <w:rPr>
          <w:szCs w:val="24"/>
          <w:vertAlign w:val="superscript"/>
        </w:rPr>
        <w:t>2</w:t>
      </w:r>
      <w:r w:rsidRPr="00CE0E77">
        <w:t xml:space="preserve"> project to store brine at night, when treated wastewater discharges were low.  However, modifications to the existing outfall could be made to meet dilution requirements in lieu of </w:t>
      </w:r>
      <w:r w:rsidR="001D3476" w:rsidRPr="00CE0E77">
        <w:t xml:space="preserve">or in addition to using dilution water. </w:t>
      </w:r>
    </w:p>
    <w:p w14:paraId="10A9302B" w14:textId="77777777" w:rsidR="00B93139" w:rsidRPr="008C7086" w:rsidRDefault="00B93139" w:rsidP="00B93139">
      <w:pPr>
        <w:autoSpaceDE w:val="0"/>
        <w:autoSpaceDN w:val="0"/>
        <w:adjustRightInd w:val="0"/>
        <w:rPr>
          <w:szCs w:val="24"/>
        </w:rPr>
      </w:pPr>
    </w:p>
    <w:p w14:paraId="45A9A98D" w14:textId="3B8097A6" w:rsidR="00591A1D" w:rsidRPr="008C7086" w:rsidRDefault="00591A1D" w:rsidP="00591A1D">
      <w:pPr>
        <w:autoSpaceDE w:val="0"/>
        <w:autoSpaceDN w:val="0"/>
        <w:adjustRightInd w:val="0"/>
        <w:rPr>
          <w:szCs w:val="24"/>
        </w:rPr>
      </w:pPr>
      <w:r>
        <w:rPr>
          <w:szCs w:val="24"/>
        </w:rPr>
        <w:t xml:space="preserve">There is discussion </w:t>
      </w:r>
      <w:r w:rsidR="001D3476">
        <w:rPr>
          <w:szCs w:val="24"/>
        </w:rPr>
        <w:t>on page 8.47 of</w:t>
      </w:r>
      <w:r>
        <w:rPr>
          <w:szCs w:val="24"/>
        </w:rPr>
        <w:t xml:space="preserve"> the report of discontinuing the</w:t>
      </w:r>
      <w:r w:rsidR="001D3476">
        <w:rPr>
          <w:szCs w:val="24"/>
        </w:rPr>
        <w:t xml:space="preserve"> use of the</w:t>
      </w:r>
      <w:r w:rsidR="00B93139" w:rsidRPr="008C7086">
        <w:rPr>
          <w:szCs w:val="24"/>
        </w:rPr>
        <w:t xml:space="preserve"> </w:t>
      </w:r>
      <w:r>
        <w:rPr>
          <w:szCs w:val="24"/>
        </w:rPr>
        <w:t>Beltz Well system</w:t>
      </w:r>
      <w:r w:rsidR="001D3476">
        <w:rPr>
          <w:szCs w:val="24"/>
        </w:rPr>
        <w:t>.  I</w:t>
      </w:r>
      <w:r>
        <w:rPr>
          <w:szCs w:val="24"/>
        </w:rPr>
        <w:t>s this a component of this desal</w:t>
      </w:r>
      <w:r w:rsidR="00CE0E77">
        <w:rPr>
          <w:szCs w:val="24"/>
        </w:rPr>
        <w:t>ination</w:t>
      </w:r>
      <w:r>
        <w:rPr>
          <w:szCs w:val="24"/>
        </w:rPr>
        <w:t xml:space="preserve"> backup alternative?</w:t>
      </w:r>
    </w:p>
    <w:p w14:paraId="18DA6E73" w14:textId="36B35473" w:rsidR="001D3476" w:rsidRDefault="001D3476" w:rsidP="0097150C">
      <w:pPr>
        <w:pStyle w:val="ListParagraph"/>
        <w:numPr>
          <w:ilvl w:val="0"/>
          <w:numId w:val="12"/>
        </w:numPr>
        <w:autoSpaceDE w:val="0"/>
        <w:autoSpaceDN w:val="0"/>
        <w:adjustRightInd w:val="0"/>
        <w:rPr>
          <w:szCs w:val="24"/>
        </w:rPr>
      </w:pPr>
      <w:r>
        <w:rPr>
          <w:szCs w:val="24"/>
        </w:rPr>
        <w:t xml:space="preserve">A number of scenarios were evaluated using the water system’s hydraulic model to understand any impacts resulting from the introduction of desalinated water into the system.  The modeling identifies areas in the system where pressures, velocities, water age, etc. exceed operational recommendations and would need further analysis and potentially infrastructure improvements.  </w:t>
      </w:r>
      <w:r w:rsidR="00591A1D">
        <w:rPr>
          <w:szCs w:val="24"/>
        </w:rPr>
        <w:t xml:space="preserve">To perform the hydraulic modeling </w:t>
      </w:r>
      <w:r>
        <w:rPr>
          <w:szCs w:val="24"/>
        </w:rPr>
        <w:t xml:space="preserve">assumptions were made about the operation of the Beltz wells and whether or not, during a drought when a desalination project were online, the city would continue to pump groundwater.  For </w:t>
      </w:r>
      <w:r w:rsidR="0091276E">
        <w:rPr>
          <w:szCs w:val="24"/>
        </w:rPr>
        <w:t xml:space="preserve">the </w:t>
      </w:r>
      <w:r>
        <w:rPr>
          <w:szCs w:val="24"/>
        </w:rPr>
        <w:t xml:space="preserve">majority of the scenarios presented in the report the Beltz well system was assumed to be off during </w:t>
      </w:r>
      <w:r w:rsidR="00CE0E77">
        <w:rPr>
          <w:szCs w:val="24"/>
        </w:rPr>
        <w:t>operation</w:t>
      </w:r>
      <w:r>
        <w:rPr>
          <w:szCs w:val="24"/>
        </w:rPr>
        <w:t xml:space="preserve"> of the desalination plant</w:t>
      </w:r>
      <w:r w:rsidR="0091276E">
        <w:rPr>
          <w:szCs w:val="24"/>
        </w:rPr>
        <w:t xml:space="preserve"> in order to preserve </w:t>
      </w:r>
      <w:r w:rsidR="0091276E">
        <w:rPr>
          <w:szCs w:val="24"/>
        </w:rPr>
        <w:lastRenderedPageBreak/>
        <w:t>groundwater levels and reduce the risk of seawater intrusion</w:t>
      </w:r>
      <w:r>
        <w:rPr>
          <w:szCs w:val="24"/>
        </w:rPr>
        <w:t>.  Additional analysis may be warranted and is easily done with the use of the department’s in-house model.</w:t>
      </w:r>
    </w:p>
    <w:p w14:paraId="39761A1F" w14:textId="77777777" w:rsidR="00266379" w:rsidRDefault="00266379" w:rsidP="00266379">
      <w:pPr>
        <w:pStyle w:val="ListParagraph"/>
        <w:autoSpaceDE w:val="0"/>
        <w:autoSpaceDN w:val="0"/>
        <w:adjustRightInd w:val="0"/>
        <w:rPr>
          <w:szCs w:val="24"/>
        </w:rPr>
      </w:pPr>
    </w:p>
    <w:p w14:paraId="65A4D1DA" w14:textId="100B778C" w:rsidR="00B93139" w:rsidRDefault="00266379" w:rsidP="001230B2">
      <w:pPr>
        <w:autoSpaceDE w:val="0"/>
        <w:autoSpaceDN w:val="0"/>
        <w:adjustRightInd w:val="0"/>
        <w:rPr>
          <w:szCs w:val="24"/>
        </w:rPr>
      </w:pPr>
      <w:r>
        <w:rPr>
          <w:szCs w:val="24"/>
        </w:rPr>
        <w:t xml:space="preserve">Public comment was received following this item and the relevant points have been included in the summary above. </w:t>
      </w:r>
    </w:p>
    <w:p w14:paraId="20F8089B" w14:textId="77777777" w:rsidR="008577D5" w:rsidRPr="008C7086" w:rsidRDefault="008577D5" w:rsidP="001230B2">
      <w:pPr>
        <w:autoSpaceDE w:val="0"/>
        <w:autoSpaceDN w:val="0"/>
        <w:adjustRightInd w:val="0"/>
        <w:rPr>
          <w:szCs w:val="24"/>
        </w:rPr>
      </w:pPr>
    </w:p>
    <w:p w14:paraId="7F138776" w14:textId="61C4DAE5" w:rsidR="00167DFE" w:rsidRDefault="00577881" w:rsidP="00511095">
      <w:pPr>
        <w:tabs>
          <w:tab w:val="left" w:pos="1620"/>
        </w:tabs>
        <w:ind w:left="360" w:hanging="360"/>
        <w:rPr>
          <w:szCs w:val="24"/>
        </w:rPr>
      </w:pPr>
      <w:r w:rsidRPr="006133A6">
        <w:rPr>
          <w:szCs w:val="24"/>
        </w:rPr>
        <w:t xml:space="preserve">9. </w:t>
      </w:r>
      <w:r w:rsidRPr="006133A6">
        <w:rPr>
          <w:szCs w:val="24"/>
        </w:rPr>
        <w:tab/>
      </w:r>
      <w:r w:rsidR="002E5D73" w:rsidRPr="00577881">
        <w:rPr>
          <w:szCs w:val="24"/>
          <w:u w:val="single"/>
        </w:rPr>
        <w:t xml:space="preserve">Briefing and Refresher on WSAC Change Management/Adaptive Management Framework </w:t>
      </w:r>
    </w:p>
    <w:p w14:paraId="6BAB07AB" w14:textId="77777777" w:rsidR="003C0318" w:rsidRDefault="003C0318" w:rsidP="003550DF">
      <w:pPr>
        <w:autoSpaceDE w:val="0"/>
        <w:autoSpaceDN w:val="0"/>
        <w:adjustRightInd w:val="0"/>
        <w:rPr>
          <w:szCs w:val="24"/>
        </w:rPr>
      </w:pPr>
    </w:p>
    <w:p w14:paraId="1B5217C5" w14:textId="7277CD0D" w:rsidR="003C0318" w:rsidRDefault="003C0318" w:rsidP="003550DF">
      <w:pPr>
        <w:autoSpaceDE w:val="0"/>
        <w:autoSpaceDN w:val="0"/>
        <w:adjustRightInd w:val="0"/>
        <w:rPr>
          <w:szCs w:val="24"/>
        </w:rPr>
      </w:pPr>
      <w:r>
        <w:rPr>
          <w:szCs w:val="24"/>
        </w:rPr>
        <w:t>Can you provide some clarification on adopting a plan versus adopting an approach? Is it possible to include WSAC preferences and values in the “Level Playing Field Evaluation Results?</w:t>
      </w:r>
    </w:p>
    <w:p w14:paraId="3766A2BB" w14:textId="7902500C" w:rsidR="003C0318" w:rsidRPr="001242D6" w:rsidRDefault="00CD75EA" w:rsidP="001242D6">
      <w:pPr>
        <w:pStyle w:val="ListParagraph"/>
        <w:numPr>
          <w:ilvl w:val="0"/>
          <w:numId w:val="12"/>
        </w:numPr>
        <w:autoSpaceDE w:val="0"/>
        <w:autoSpaceDN w:val="0"/>
        <w:adjustRightInd w:val="0"/>
        <w:rPr>
          <w:szCs w:val="24"/>
        </w:rPr>
      </w:pPr>
      <w:r>
        <w:rPr>
          <w:szCs w:val="24"/>
        </w:rPr>
        <w:t xml:space="preserve">Yes, </w:t>
      </w:r>
      <w:r w:rsidR="002A6720">
        <w:rPr>
          <w:szCs w:val="24"/>
        </w:rPr>
        <w:t>WSAC</w:t>
      </w:r>
      <w:r>
        <w:rPr>
          <w:szCs w:val="24"/>
        </w:rPr>
        <w:t>’s</w:t>
      </w:r>
      <w:r w:rsidR="002A6720">
        <w:rPr>
          <w:szCs w:val="24"/>
        </w:rPr>
        <w:t xml:space="preserve"> preferences and values </w:t>
      </w:r>
      <w:r>
        <w:rPr>
          <w:szCs w:val="24"/>
        </w:rPr>
        <w:t xml:space="preserve">will be included </w:t>
      </w:r>
      <w:r w:rsidR="002A6720">
        <w:rPr>
          <w:szCs w:val="24"/>
        </w:rPr>
        <w:t>in the evaluation tool.</w:t>
      </w:r>
    </w:p>
    <w:p w14:paraId="777DA251" w14:textId="77777777" w:rsidR="003550DF" w:rsidRPr="008C7086" w:rsidRDefault="003550DF" w:rsidP="003550DF">
      <w:pPr>
        <w:autoSpaceDE w:val="0"/>
        <w:autoSpaceDN w:val="0"/>
        <w:adjustRightInd w:val="0"/>
        <w:rPr>
          <w:szCs w:val="24"/>
        </w:rPr>
      </w:pPr>
    </w:p>
    <w:p w14:paraId="29C8FB15" w14:textId="736B0F6A" w:rsidR="003550DF" w:rsidRPr="008C7086" w:rsidRDefault="001242D6" w:rsidP="003550DF">
      <w:pPr>
        <w:autoSpaceDE w:val="0"/>
        <w:autoSpaceDN w:val="0"/>
        <w:adjustRightInd w:val="0"/>
        <w:rPr>
          <w:szCs w:val="24"/>
        </w:rPr>
      </w:pPr>
      <w:r>
        <w:rPr>
          <w:szCs w:val="24"/>
        </w:rPr>
        <w:t xml:space="preserve">Will it be possible to further quantify the criteria of </w:t>
      </w:r>
      <w:r w:rsidR="003550DF" w:rsidRPr="008C7086">
        <w:rPr>
          <w:szCs w:val="24"/>
        </w:rPr>
        <w:t xml:space="preserve">“timeliness” </w:t>
      </w:r>
      <w:r>
        <w:rPr>
          <w:szCs w:val="24"/>
        </w:rPr>
        <w:t xml:space="preserve">to reflect </w:t>
      </w:r>
      <w:r w:rsidR="00310586">
        <w:rPr>
          <w:szCs w:val="24"/>
        </w:rPr>
        <w:t xml:space="preserve">that </w:t>
      </w:r>
      <w:r w:rsidR="00E232B7">
        <w:rPr>
          <w:szCs w:val="24"/>
        </w:rPr>
        <w:t xml:space="preserve">projects may have differing implementation dates? </w:t>
      </w:r>
    </w:p>
    <w:p w14:paraId="42AB5CDF" w14:textId="51936EFC" w:rsidR="001242D6" w:rsidRDefault="00CD75EA" w:rsidP="00CE0E77">
      <w:pPr>
        <w:pStyle w:val="ListParagraph"/>
        <w:numPr>
          <w:ilvl w:val="0"/>
          <w:numId w:val="12"/>
        </w:numPr>
        <w:autoSpaceDE w:val="0"/>
        <w:autoSpaceDN w:val="0"/>
        <w:adjustRightInd w:val="0"/>
        <w:rPr>
          <w:szCs w:val="24"/>
        </w:rPr>
      </w:pPr>
      <w:r w:rsidRPr="00CE0E77">
        <w:rPr>
          <w:szCs w:val="24"/>
        </w:rPr>
        <w:t xml:space="preserve">The “timeliness” criterion is related to whether the project can be completed and online by 2025. </w:t>
      </w:r>
      <w:r w:rsidR="001242D6" w:rsidRPr="00CE0E77">
        <w:rPr>
          <w:szCs w:val="24"/>
        </w:rPr>
        <w:t>To simpl</w:t>
      </w:r>
      <w:r w:rsidRPr="00CE0E77">
        <w:rPr>
          <w:szCs w:val="24"/>
        </w:rPr>
        <w:t>if</w:t>
      </w:r>
      <w:r w:rsidR="001242D6" w:rsidRPr="00CE0E77">
        <w:rPr>
          <w:szCs w:val="24"/>
        </w:rPr>
        <w:t>y the chart, a pass/fail criteri</w:t>
      </w:r>
      <w:r w:rsidRPr="00CE0E77">
        <w:rPr>
          <w:szCs w:val="24"/>
        </w:rPr>
        <w:t>on</w:t>
      </w:r>
      <w:r w:rsidR="001242D6" w:rsidRPr="00CE0E77">
        <w:rPr>
          <w:szCs w:val="24"/>
        </w:rPr>
        <w:t xml:space="preserve"> was indicated however, in reality,</w:t>
      </w:r>
      <w:r w:rsidRPr="00CE0E77">
        <w:rPr>
          <w:szCs w:val="24"/>
        </w:rPr>
        <w:t xml:space="preserve"> at the point the evaluation is completed,</w:t>
      </w:r>
      <w:r w:rsidR="00CE0E77" w:rsidRPr="00CE0E77">
        <w:rPr>
          <w:szCs w:val="24"/>
        </w:rPr>
        <w:t xml:space="preserve"> </w:t>
      </w:r>
      <w:r w:rsidRPr="00CE0E77">
        <w:rPr>
          <w:szCs w:val="24"/>
        </w:rPr>
        <w:t xml:space="preserve">all </w:t>
      </w:r>
      <w:r w:rsidR="009F618D" w:rsidRPr="00CE0E77">
        <w:rPr>
          <w:szCs w:val="24"/>
        </w:rPr>
        <w:t xml:space="preserve">the projects would be developed </w:t>
      </w:r>
      <w:r w:rsidR="00684B50" w:rsidRPr="00CE0E77">
        <w:rPr>
          <w:szCs w:val="24"/>
        </w:rPr>
        <w:t xml:space="preserve">enough to </w:t>
      </w:r>
      <w:r w:rsidRPr="00CE0E77">
        <w:rPr>
          <w:szCs w:val="24"/>
        </w:rPr>
        <w:t>include project completion</w:t>
      </w:r>
      <w:r w:rsidR="00684B50" w:rsidRPr="00CE0E77">
        <w:rPr>
          <w:szCs w:val="24"/>
        </w:rPr>
        <w:t xml:space="preserve"> </w:t>
      </w:r>
      <w:r w:rsidR="009F618D" w:rsidRPr="00CE0E77">
        <w:rPr>
          <w:szCs w:val="24"/>
        </w:rPr>
        <w:t>date</w:t>
      </w:r>
      <w:r w:rsidRPr="00CE0E77">
        <w:rPr>
          <w:szCs w:val="24"/>
        </w:rPr>
        <w:t>s</w:t>
      </w:r>
      <w:r w:rsidR="009F618D" w:rsidRPr="00CE0E77">
        <w:rPr>
          <w:szCs w:val="24"/>
        </w:rPr>
        <w:t>.</w:t>
      </w:r>
      <w:r w:rsidRPr="00CE0E77">
        <w:rPr>
          <w:szCs w:val="24"/>
        </w:rPr>
        <w:t xml:space="preserve">  </w:t>
      </w:r>
    </w:p>
    <w:p w14:paraId="66032FF9" w14:textId="77777777" w:rsidR="00CE0E77" w:rsidRPr="00CE0E77" w:rsidRDefault="00CE0E77" w:rsidP="00CE0E77">
      <w:pPr>
        <w:pStyle w:val="ListParagraph"/>
        <w:autoSpaceDE w:val="0"/>
        <w:autoSpaceDN w:val="0"/>
        <w:adjustRightInd w:val="0"/>
        <w:rPr>
          <w:szCs w:val="24"/>
        </w:rPr>
      </w:pPr>
    </w:p>
    <w:p w14:paraId="4316BABE" w14:textId="6D3B3D81" w:rsidR="003550DF" w:rsidRPr="008C7086" w:rsidRDefault="00CD392A" w:rsidP="003550DF">
      <w:pPr>
        <w:autoSpaceDE w:val="0"/>
        <w:autoSpaceDN w:val="0"/>
        <w:adjustRightInd w:val="0"/>
        <w:rPr>
          <w:szCs w:val="24"/>
        </w:rPr>
      </w:pPr>
      <w:r>
        <w:rPr>
          <w:szCs w:val="24"/>
        </w:rPr>
        <w:t>During the WSAC process, the group was not able to consider every criteri</w:t>
      </w:r>
      <w:r w:rsidR="00310586">
        <w:rPr>
          <w:szCs w:val="24"/>
        </w:rPr>
        <w:t>on that</w:t>
      </w:r>
      <w:r>
        <w:rPr>
          <w:szCs w:val="24"/>
        </w:rPr>
        <w:t xml:space="preserve"> should be used to evaluate water supply projects. Will criteria such as: r</w:t>
      </w:r>
      <w:r w:rsidR="00684B50">
        <w:rPr>
          <w:szCs w:val="24"/>
        </w:rPr>
        <w:t>obustness</w:t>
      </w:r>
      <w:r>
        <w:rPr>
          <w:szCs w:val="24"/>
        </w:rPr>
        <w:t>,</w:t>
      </w:r>
      <w:r w:rsidR="00684B50">
        <w:rPr>
          <w:szCs w:val="24"/>
        </w:rPr>
        <w:t xml:space="preserve"> redundancy</w:t>
      </w:r>
      <w:r>
        <w:rPr>
          <w:szCs w:val="24"/>
        </w:rPr>
        <w:t>,</w:t>
      </w:r>
      <w:r w:rsidR="00684B50">
        <w:rPr>
          <w:szCs w:val="24"/>
        </w:rPr>
        <w:t xml:space="preserve"> resiliency</w:t>
      </w:r>
      <w:r>
        <w:rPr>
          <w:szCs w:val="24"/>
        </w:rPr>
        <w:t>,</w:t>
      </w:r>
      <w:r w:rsidR="003550DF" w:rsidRPr="008C7086">
        <w:rPr>
          <w:szCs w:val="24"/>
        </w:rPr>
        <w:t xml:space="preserve"> </w:t>
      </w:r>
      <w:r>
        <w:rPr>
          <w:szCs w:val="24"/>
        </w:rPr>
        <w:t xml:space="preserve">adaptiveness and flexibility to reduce our dependency on the San Lorenzo River </w:t>
      </w:r>
      <w:r w:rsidR="003411E3">
        <w:rPr>
          <w:szCs w:val="24"/>
        </w:rPr>
        <w:t xml:space="preserve">and increase our </w:t>
      </w:r>
      <w:r>
        <w:rPr>
          <w:szCs w:val="24"/>
        </w:rPr>
        <w:t xml:space="preserve">raw water source </w:t>
      </w:r>
      <w:r w:rsidR="003411E3">
        <w:rPr>
          <w:szCs w:val="24"/>
        </w:rPr>
        <w:t xml:space="preserve">portfolio </w:t>
      </w:r>
      <w:r>
        <w:rPr>
          <w:szCs w:val="24"/>
        </w:rPr>
        <w:t>be included in the analysis</w:t>
      </w:r>
      <w:r w:rsidR="00CE0E77">
        <w:rPr>
          <w:szCs w:val="24"/>
        </w:rPr>
        <w:t>?</w:t>
      </w:r>
    </w:p>
    <w:p w14:paraId="5A06DBCB" w14:textId="3F329180" w:rsidR="00F57594" w:rsidRDefault="00B458A1" w:rsidP="00B458A1">
      <w:pPr>
        <w:pStyle w:val="ListParagraph"/>
        <w:numPr>
          <w:ilvl w:val="0"/>
          <w:numId w:val="12"/>
        </w:numPr>
        <w:autoSpaceDE w:val="0"/>
        <w:autoSpaceDN w:val="0"/>
        <w:adjustRightInd w:val="0"/>
        <w:rPr>
          <w:szCs w:val="24"/>
        </w:rPr>
      </w:pPr>
      <w:r>
        <w:rPr>
          <w:szCs w:val="24"/>
        </w:rPr>
        <w:t xml:space="preserve">One of the lessons of the 2017 winter storms was that a major transmission pipeline failed, not our raw water sources. While it is not a bad idea to diversify our source water portfolio, </w:t>
      </w:r>
      <w:r w:rsidR="00F57594">
        <w:rPr>
          <w:szCs w:val="24"/>
        </w:rPr>
        <w:t xml:space="preserve">we need to </w:t>
      </w:r>
      <w:r w:rsidR="00FC08CC">
        <w:rPr>
          <w:szCs w:val="24"/>
        </w:rPr>
        <w:t xml:space="preserve">also </w:t>
      </w:r>
      <w:r w:rsidR="00F57594">
        <w:rPr>
          <w:szCs w:val="24"/>
        </w:rPr>
        <w:t>focus on reliability of the existing system as was one of the first topic</w:t>
      </w:r>
      <w:r w:rsidR="007C254A">
        <w:rPr>
          <w:szCs w:val="24"/>
        </w:rPr>
        <w:t>s</w:t>
      </w:r>
      <w:r w:rsidR="00F57594">
        <w:rPr>
          <w:szCs w:val="24"/>
        </w:rPr>
        <w:t xml:space="preserve"> WSAC explored.</w:t>
      </w:r>
    </w:p>
    <w:p w14:paraId="542AF39B" w14:textId="77777777" w:rsidR="00F57594" w:rsidRDefault="00F57594" w:rsidP="00F57594">
      <w:pPr>
        <w:autoSpaceDE w:val="0"/>
        <w:autoSpaceDN w:val="0"/>
        <w:adjustRightInd w:val="0"/>
        <w:rPr>
          <w:szCs w:val="24"/>
        </w:rPr>
      </w:pPr>
    </w:p>
    <w:p w14:paraId="0ED05AA0" w14:textId="76475040" w:rsidR="00F57594" w:rsidRPr="00F57594" w:rsidRDefault="007C254A" w:rsidP="00F57594">
      <w:pPr>
        <w:autoSpaceDE w:val="0"/>
        <w:autoSpaceDN w:val="0"/>
        <w:adjustRightInd w:val="0"/>
        <w:rPr>
          <w:szCs w:val="24"/>
        </w:rPr>
      </w:pPr>
      <w:r>
        <w:rPr>
          <w:szCs w:val="24"/>
        </w:rPr>
        <w:t>What impact will delaying a decision on Element 3</w:t>
      </w:r>
      <w:r w:rsidR="003F1F10">
        <w:rPr>
          <w:szCs w:val="24"/>
        </w:rPr>
        <w:t xml:space="preserve"> have on our work</w:t>
      </w:r>
      <w:r>
        <w:rPr>
          <w:szCs w:val="24"/>
        </w:rPr>
        <w:t xml:space="preserve"> because we do not have information on Elements 1 &amp; 2 and the recycled water portion of element 3?</w:t>
      </w:r>
    </w:p>
    <w:p w14:paraId="6A317361" w14:textId="28DE9360" w:rsidR="003550DF" w:rsidRPr="00B458A1" w:rsidRDefault="00951930" w:rsidP="00B458A1">
      <w:pPr>
        <w:pStyle w:val="ListParagraph"/>
        <w:numPr>
          <w:ilvl w:val="0"/>
          <w:numId w:val="12"/>
        </w:numPr>
        <w:autoSpaceDE w:val="0"/>
        <w:autoSpaceDN w:val="0"/>
        <w:adjustRightInd w:val="0"/>
        <w:rPr>
          <w:szCs w:val="24"/>
        </w:rPr>
      </w:pPr>
      <w:r>
        <w:rPr>
          <w:szCs w:val="24"/>
        </w:rPr>
        <w:t xml:space="preserve">The timeline calls for a decision point in 3 years </w:t>
      </w:r>
      <w:r w:rsidR="00CD75EA">
        <w:rPr>
          <w:szCs w:val="24"/>
        </w:rPr>
        <w:t xml:space="preserve">so we have time to wait for better information on the feasibility of injecting water into local aquifers before we make any decision on which of the two options for Element 3 would make more sense to use to compare with winter water harvest options.  </w:t>
      </w:r>
    </w:p>
    <w:p w14:paraId="0624467B" w14:textId="77777777" w:rsidR="00B458A1" w:rsidRPr="008C7086" w:rsidRDefault="00B458A1" w:rsidP="003550DF">
      <w:pPr>
        <w:autoSpaceDE w:val="0"/>
        <w:autoSpaceDN w:val="0"/>
        <w:adjustRightInd w:val="0"/>
        <w:rPr>
          <w:szCs w:val="24"/>
        </w:rPr>
      </w:pPr>
    </w:p>
    <w:p w14:paraId="38B081EC" w14:textId="45A49C2A" w:rsidR="003550DF" w:rsidRPr="008C7086" w:rsidRDefault="008F6B12" w:rsidP="003550DF">
      <w:pPr>
        <w:autoSpaceDE w:val="0"/>
        <w:autoSpaceDN w:val="0"/>
        <w:adjustRightInd w:val="0"/>
        <w:rPr>
          <w:szCs w:val="24"/>
        </w:rPr>
      </w:pPr>
      <w:r>
        <w:rPr>
          <w:szCs w:val="24"/>
        </w:rPr>
        <w:t xml:space="preserve">Is it true that the City would need to </w:t>
      </w:r>
      <w:r w:rsidR="004D2DED">
        <w:rPr>
          <w:szCs w:val="24"/>
        </w:rPr>
        <w:t>initiate</w:t>
      </w:r>
      <w:r w:rsidR="00746807">
        <w:rPr>
          <w:szCs w:val="24"/>
        </w:rPr>
        <w:t xml:space="preserve"> the CEQA </w:t>
      </w:r>
      <w:r w:rsidR="004D2DED">
        <w:rPr>
          <w:szCs w:val="24"/>
        </w:rPr>
        <w:t>process</w:t>
      </w:r>
      <w:r w:rsidR="00746807">
        <w:rPr>
          <w:szCs w:val="24"/>
        </w:rPr>
        <w:t xml:space="preserve"> with all </w:t>
      </w:r>
      <w:r w:rsidR="003550DF" w:rsidRPr="008C7086">
        <w:rPr>
          <w:szCs w:val="24"/>
        </w:rPr>
        <w:t xml:space="preserve">four of the </w:t>
      </w:r>
      <w:r>
        <w:rPr>
          <w:szCs w:val="24"/>
        </w:rPr>
        <w:t xml:space="preserve">WSAC </w:t>
      </w:r>
      <w:r w:rsidR="003550DF" w:rsidRPr="008C7086">
        <w:rPr>
          <w:szCs w:val="24"/>
        </w:rPr>
        <w:t xml:space="preserve">alternatives </w:t>
      </w:r>
      <w:r w:rsidR="00310586">
        <w:rPr>
          <w:szCs w:val="24"/>
        </w:rPr>
        <w:t>prior to</w:t>
      </w:r>
      <w:r w:rsidR="00310586" w:rsidRPr="008C7086">
        <w:rPr>
          <w:szCs w:val="24"/>
        </w:rPr>
        <w:t xml:space="preserve"> </w:t>
      </w:r>
      <w:r w:rsidR="003550DF" w:rsidRPr="008C7086">
        <w:rPr>
          <w:szCs w:val="24"/>
        </w:rPr>
        <w:t xml:space="preserve">making a </w:t>
      </w:r>
      <w:r w:rsidR="00746807">
        <w:rPr>
          <w:szCs w:val="24"/>
        </w:rPr>
        <w:t xml:space="preserve">final </w:t>
      </w:r>
      <w:r w:rsidR="003550DF" w:rsidRPr="008C7086">
        <w:rPr>
          <w:szCs w:val="24"/>
        </w:rPr>
        <w:t>decision</w:t>
      </w:r>
      <w:r w:rsidR="00746807">
        <w:rPr>
          <w:szCs w:val="24"/>
        </w:rPr>
        <w:t>?</w:t>
      </w:r>
      <w:r w:rsidR="004D2DED">
        <w:rPr>
          <w:szCs w:val="24"/>
        </w:rPr>
        <w:t xml:space="preserve"> </w:t>
      </w:r>
    </w:p>
    <w:p w14:paraId="1728CB15" w14:textId="13039389" w:rsidR="00266379" w:rsidRPr="00E61855" w:rsidRDefault="00FC08CC" w:rsidP="00D3256F">
      <w:pPr>
        <w:pStyle w:val="ListParagraph"/>
        <w:numPr>
          <w:ilvl w:val="0"/>
          <w:numId w:val="12"/>
        </w:numPr>
        <w:autoSpaceDE w:val="0"/>
        <w:autoSpaceDN w:val="0"/>
        <w:adjustRightInd w:val="0"/>
        <w:rPr>
          <w:szCs w:val="24"/>
        </w:rPr>
      </w:pPr>
      <w:r w:rsidRPr="00E61855">
        <w:rPr>
          <w:szCs w:val="24"/>
        </w:rPr>
        <w:t xml:space="preserve">CEQA would need to proceed on the selected project, or suite of projects or actions.  If a recommendation was made to include all four WSAC alternatives (presumably in lieu, ASR, desalination and some form of recycled water) CEQA could proceed on all four alternatives as part of a program approach to water supply reliability.  However, without a recommendation of this kind, proceeding with CEQA would be premature as the project would not be defined and therefore speculative. </w:t>
      </w:r>
    </w:p>
    <w:p w14:paraId="36386AD7" w14:textId="77777777" w:rsidR="003550DF" w:rsidRPr="00266379" w:rsidRDefault="003550DF" w:rsidP="00266379">
      <w:pPr>
        <w:pStyle w:val="ListParagraph"/>
        <w:autoSpaceDE w:val="0"/>
        <w:autoSpaceDN w:val="0"/>
        <w:adjustRightInd w:val="0"/>
        <w:rPr>
          <w:szCs w:val="24"/>
          <w:u w:val="single"/>
        </w:rPr>
      </w:pPr>
    </w:p>
    <w:p w14:paraId="4909EDE9" w14:textId="77777777" w:rsidR="00266379" w:rsidRDefault="00266379" w:rsidP="00266379">
      <w:pPr>
        <w:autoSpaceDE w:val="0"/>
        <w:autoSpaceDN w:val="0"/>
        <w:adjustRightInd w:val="0"/>
        <w:rPr>
          <w:szCs w:val="24"/>
        </w:rPr>
      </w:pPr>
      <w:r>
        <w:rPr>
          <w:szCs w:val="24"/>
        </w:rPr>
        <w:lastRenderedPageBreak/>
        <w:t xml:space="preserve">Public comment was received following this item and the relevant points have been included in the summary above. </w:t>
      </w:r>
    </w:p>
    <w:p w14:paraId="01E14C4F" w14:textId="77777777" w:rsidR="00310586" w:rsidRPr="008C7086" w:rsidRDefault="00310586" w:rsidP="00310586">
      <w:pPr>
        <w:autoSpaceDE w:val="0"/>
        <w:autoSpaceDN w:val="0"/>
        <w:adjustRightInd w:val="0"/>
        <w:rPr>
          <w:szCs w:val="24"/>
        </w:rPr>
      </w:pPr>
    </w:p>
    <w:p w14:paraId="2D678DE0" w14:textId="77777777" w:rsidR="00904CA5" w:rsidRPr="008C7086" w:rsidRDefault="00904CA5" w:rsidP="00904CA5">
      <w:pPr>
        <w:tabs>
          <w:tab w:val="left" w:pos="1620"/>
        </w:tabs>
        <w:rPr>
          <w:szCs w:val="24"/>
        </w:rPr>
      </w:pPr>
      <w:r w:rsidRPr="008C7086">
        <w:rPr>
          <w:b/>
          <w:szCs w:val="24"/>
        </w:rPr>
        <w:t>Subcommittee/Advisory Body Oral Reports</w:t>
      </w:r>
    </w:p>
    <w:p w14:paraId="78BAA70F" w14:textId="77777777" w:rsidR="00904CA5" w:rsidRPr="008C7086" w:rsidRDefault="00904CA5" w:rsidP="00904CA5">
      <w:pPr>
        <w:tabs>
          <w:tab w:val="left" w:pos="1620"/>
        </w:tabs>
        <w:rPr>
          <w:szCs w:val="24"/>
        </w:rPr>
      </w:pPr>
    </w:p>
    <w:p w14:paraId="2BA7DEBD" w14:textId="1E51781B" w:rsidR="002E5D73" w:rsidRPr="00E54DAD" w:rsidRDefault="00E54DAD" w:rsidP="00E54DAD">
      <w:pPr>
        <w:ind w:left="360" w:hanging="360"/>
        <w:rPr>
          <w:szCs w:val="24"/>
          <w:u w:val="single"/>
        </w:rPr>
      </w:pPr>
      <w:r w:rsidRPr="00E54DAD">
        <w:rPr>
          <w:szCs w:val="24"/>
        </w:rPr>
        <w:t>10.</w:t>
      </w:r>
      <w:r w:rsidRPr="00E54DAD">
        <w:rPr>
          <w:szCs w:val="24"/>
        </w:rPr>
        <w:tab/>
      </w:r>
      <w:r w:rsidR="002E5D73" w:rsidRPr="00E54DAD">
        <w:rPr>
          <w:szCs w:val="24"/>
          <w:u w:val="single"/>
        </w:rPr>
        <w:t>Santa Cruz Mid-County Groundwater Agency</w:t>
      </w:r>
      <w:r w:rsidR="00684004">
        <w:rPr>
          <w:szCs w:val="24"/>
          <w:u w:val="single"/>
        </w:rPr>
        <w:t xml:space="preserve"> (MGA)</w:t>
      </w:r>
    </w:p>
    <w:p w14:paraId="6218CEE7" w14:textId="77777777" w:rsidR="002E5D73" w:rsidRPr="008C7086" w:rsidRDefault="002E5D73" w:rsidP="002E5D73">
      <w:pPr>
        <w:rPr>
          <w:szCs w:val="24"/>
        </w:rPr>
      </w:pPr>
      <w:r w:rsidRPr="008C7086">
        <w:rPr>
          <w:szCs w:val="24"/>
        </w:rPr>
        <w:t xml:space="preserve"> </w:t>
      </w:r>
    </w:p>
    <w:p w14:paraId="0B1F01B1" w14:textId="77777777" w:rsidR="00502DDE" w:rsidRPr="008C7086" w:rsidRDefault="00502DDE" w:rsidP="00502DDE">
      <w:pPr>
        <w:rPr>
          <w:szCs w:val="24"/>
        </w:rPr>
      </w:pPr>
      <w:r w:rsidRPr="008C7086">
        <w:rPr>
          <w:szCs w:val="24"/>
        </w:rPr>
        <w:t xml:space="preserve">Commissioner Baskin gave an update on the </w:t>
      </w:r>
      <w:r>
        <w:rPr>
          <w:szCs w:val="24"/>
        </w:rPr>
        <w:t>Groundwater Sustainability Plan (GSP) Advisory Committee orientation and chartering process.  Two of the planned four orientation sessions have occurred with the last two scheduled for November 13</w:t>
      </w:r>
      <w:r w:rsidRPr="00717594">
        <w:rPr>
          <w:szCs w:val="24"/>
          <w:vertAlign w:val="superscript"/>
        </w:rPr>
        <w:t>th</w:t>
      </w:r>
      <w:r>
        <w:rPr>
          <w:szCs w:val="24"/>
        </w:rPr>
        <w:t xml:space="preserve"> and December 7</w:t>
      </w:r>
      <w:r w:rsidRPr="00717594">
        <w:rPr>
          <w:szCs w:val="24"/>
          <w:vertAlign w:val="superscript"/>
        </w:rPr>
        <w:t>th</w:t>
      </w:r>
      <w:r>
        <w:rPr>
          <w:szCs w:val="24"/>
        </w:rPr>
        <w:t>.  The Advisory Committee has also completed the first of two planned chartering sessions, with the second scheduled on November 13</w:t>
      </w:r>
      <w:r w:rsidRPr="00717594">
        <w:rPr>
          <w:szCs w:val="24"/>
          <w:vertAlign w:val="superscript"/>
        </w:rPr>
        <w:t>th</w:t>
      </w:r>
      <w:r>
        <w:rPr>
          <w:szCs w:val="24"/>
        </w:rPr>
        <w:t xml:space="preserve">.  </w:t>
      </w:r>
    </w:p>
    <w:p w14:paraId="3F908A30" w14:textId="77777777" w:rsidR="00502DDE" w:rsidRPr="008C7086" w:rsidRDefault="00502DDE" w:rsidP="00502DDE">
      <w:pPr>
        <w:rPr>
          <w:szCs w:val="24"/>
        </w:rPr>
      </w:pPr>
    </w:p>
    <w:p w14:paraId="79BC036B" w14:textId="6417D291" w:rsidR="00502DDE" w:rsidRDefault="00502DDE" w:rsidP="00502DDE">
      <w:pPr>
        <w:rPr>
          <w:szCs w:val="24"/>
        </w:rPr>
      </w:pPr>
      <w:r>
        <w:rPr>
          <w:szCs w:val="24"/>
        </w:rPr>
        <w:t>At the MGA Board meeting on November 16</w:t>
      </w:r>
      <w:r w:rsidRPr="00717594">
        <w:rPr>
          <w:szCs w:val="24"/>
          <w:vertAlign w:val="superscript"/>
        </w:rPr>
        <w:t>th</w:t>
      </w:r>
      <w:r>
        <w:rPr>
          <w:szCs w:val="24"/>
        </w:rPr>
        <w:t xml:space="preserve">, </w:t>
      </w:r>
      <w:r w:rsidRPr="008C7086">
        <w:rPr>
          <w:szCs w:val="24"/>
        </w:rPr>
        <w:t>Russ Mc</w:t>
      </w:r>
      <w:r>
        <w:rPr>
          <w:szCs w:val="24"/>
        </w:rPr>
        <w:t>Glothlin</w:t>
      </w:r>
      <w:r w:rsidRPr="008C7086">
        <w:rPr>
          <w:szCs w:val="24"/>
        </w:rPr>
        <w:t xml:space="preserve"> </w:t>
      </w:r>
      <w:r>
        <w:rPr>
          <w:szCs w:val="24"/>
        </w:rPr>
        <w:t>an attorney involved in drafting the Sustainable Groundwater Management Act in 2014 will present an overview of SGMA’s</w:t>
      </w:r>
      <w:r w:rsidRPr="008C7086">
        <w:rPr>
          <w:szCs w:val="24"/>
        </w:rPr>
        <w:t xml:space="preserve"> statutory governance framework </w:t>
      </w:r>
      <w:r>
        <w:rPr>
          <w:szCs w:val="24"/>
        </w:rPr>
        <w:t>and the authorized tools that Groundwater Sustainability Agencies will have at their disposal and the constraints that will guide their operations and decision-making.</w:t>
      </w:r>
    </w:p>
    <w:p w14:paraId="271237B2" w14:textId="742C96B3" w:rsidR="00502DDE" w:rsidRDefault="00502DDE" w:rsidP="00502DDE">
      <w:pPr>
        <w:rPr>
          <w:szCs w:val="24"/>
        </w:rPr>
      </w:pPr>
    </w:p>
    <w:p w14:paraId="00EF5C7E" w14:textId="77777777" w:rsidR="00502DDE" w:rsidRPr="008C7086" w:rsidRDefault="00502DDE" w:rsidP="00502DDE">
      <w:pPr>
        <w:rPr>
          <w:szCs w:val="24"/>
        </w:rPr>
      </w:pPr>
      <w:r>
        <w:rPr>
          <w:szCs w:val="24"/>
        </w:rPr>
        <w:t xml:space="preserve">Additional details are available at the MGA’s website:  </w:t>
      </w:r>
      <w:hyperlink r:id="rId7" w:history="1">
        <w:r w:rsidRPr="00894173">
          <w:rPr>
            <w:rStyle w:val="Hyperlink"/>
            <w:szCs w:val="24"/>
          </w:rPr>
          <w:t>www.midcountygroundwater.org</w:t>
        </w:r>
      </w:hyperlink>
      <w:r>
        <w:rPr>
          <w:szCs w:val="24"/>
        </w:rPr>
        <w:t xml:space="preserve"> .</w:t>
      </w:r>
    </w:p>
    <w:p w14:paraId="0524275C" w14:textId="77777777" w:rsidR="00F80CD1" w:rsidRPr="008C7086" w:rsidRDefault="00F80CD1" w:rsidP="002E5D73">
      <w:pPr>
        <w:rPr>
          <w:szCs w:val="24"/>
        </w:rPr>
      </w:pPr>
    </w:p>
    <w:p w14:paraId="5706B3E3" w14:textId="367966DF" w:rsidR="002E5D73" w:rsidRPr="00F4005B" w:rsidRDefault="00E54DAD" w:rsidP="00F4005B">
      <w:pPr>
        <w:ind w:left="360" w:hanging="360"/>
        <w:rPr>
          <w:szCs w:val="24"/>
          <w:u w:val="single"/>
        </w:rPr>
      </w:pPr>
      <w:r>
        <w:rPr>
          <w:szCs w:val="24"/>
        </w:rPr>
        <w:t xml:space="preserve">11. </w:t>
      </w:r>
      <w:r w:rsidR="002E5D73" w:rsidRPr="00E54DAD">
        <w:rPr>
          <w:szCs w:val="24"/>
          <w:u w:val="single"/>
        </w:rPr>
        <w:t>Santa Margarita Groundwater Agency</w:t>
      </w:r>
      <w:r w:rsidR="00F4005B" w:rsidRPr="00684004">
        <w:rPr>
          <w:szCs w:val="24"/>
        </w:rPr>
        <w:t xml:space="preserve"> </w:t>
      </w:r>
    </w:p>
    <w:p w14:paraId="372FDF89" w14:textId="77777777" w:rsidR="004E5E87" w:rsidRPr="008C7086" w:rsidRDefault="004E5E87" w:rsidP="00173FC6">
      <w:pPr>
        <w:pStyle w:val="ListParagraph"/>
        <w:rPr>
          <w:szCs w:val="24"/>
        </w:rPr>
      </w:pPr>
    </w:p>
    <w:p w14:paraId="53795D43" w14:textId="0B3FBD5F" w:rsidR="00502DDE" w:rsidRDefault="00502DDE" w:rsidP="00502DDE">
      <w:pPr>
        <w:tabs>
          <w:tab w:val="left" w:pos="1620"/>
        </w:tabs>
        <w:rPr>
          <w:szCs w:val="24"/>
        </w:rPr>
      </w:pPr>
      <w:r w:rsidRPr="008C7086">
        <w:rPr>
          <w:szCs w:val="24"/>
        </w:rPr>
        <w:t xml:space="preserve">Commissioner </w:t>
      </w:r>
      <w:r>
        <w:rPr>
          <w:szCs w:val="24"/>
        </w:rPr>
        <w:t>Engfer</w:t>
      </w:r>
      <w:r w:rsidRPr="008C7086">
        <w:rPr>
          <w:szCs w:val="24"/>
        </w:rPr>
        <w:t xml:space="preserve"> </w:t>
      </w:r>
      <w:r>
        <w:rPr>
          <w:szCs w:val="24"/>
        </w:rPr>
        <w:t>provided</w:t>
      </w:r>
      <w:r w:rsidRPr="008C7086">
        <w:rPr>
          <w:szCs w:val="24"/>
        </w:rPr>
        <w:t xml:space="preserve"> an update </w:t>
      </w:r>
      <w:r>
        <w:rPr>
          <w:szCs w:val="24"/>
        </w:rPr>
        <w:t>on the newly formed SMGA and its work on developing</w:t>
      </w:r>
      <w:r w:rsidRPr="008C7086">
        <w:rPr>
          <w:szCs w:val="24"/>
        </w:rPr>
        <w:t xml:space="preserve"> by-laws. They expect to finalize </w:t>
      </w:r>
      <w:r>
        <w:rPr>
          <w:szCs w:val="24"/>
        </w:rPr>
        <w:t>this work</w:t>
      </w:r>
      <w:r w:rsidRPr="008C7086">
        <w:rPr>
          <w:szCs w:val="24"/>
        </w:rPr>
        <w:t xml:space="preserve"> at the next meeting</w:t>
      </w:r>
      <w:r>
        <w:rPr>
          <w:szCs w:val="24"/>
        </w:rPr>
        <w:t xml:space="preserve"> at 7:00 pm on Wednesday, December 13</w:t>
      </w:r>
      <w:r w:rsidRPr="00481D33">
        <w:rPr>
          <w:szCs w:val="24"/>
          <w:vertAlign w:val="superscript"/>
        </w:rPr>
        <w:t>th</w:t>
      </w:r>
      <w:r w:rsidRPr="008C7086">
        <w:rPr>
          <w:szCs w:val="24"/>
        </w:rPr>
        <w:t xml:space="preserve">. </w:t>
      </w:r>
      <w:r>
        <w:rPr>
          <w:szCs w:val="24"/>
        </w:rPr>
        <w:t xml:space="preserve"> </w:t>
      </w:r>
      <w:r w:rsidRPr="008C7086">
        <w:rPr>
          <w:szCs w:val="24"/>
        </w:rPr>
        <w:t>Since</w:t>
      </w:r>
      <w:r>
        <w:rPr>
          <w:szCs w:val="24"/>
        </w:rPr>
        <w:t xml:space="preserve"> this basin is not </w:t>
      </w:r>
      <w:r w:rsidRPr="008C7086">
        <w:rPr>
          <w:szCs w:val="24"/>
        </w:rPr>
        <w:t>critically over-drafted</w:t>
      </w:r>
      <w:r>
        <w:rPr>
          <w:szCs w:val="24"/>
        </w:rPr>
        <w:t>, the GSP is not due until the end of January, 2022.  As a result the SMGWA will have the opportunity to benefit from the efforts of the MGA</w:t>
      </w:r>
      <w:r w:rsidRPr="008C7086">
        <w:rPr>
          <w:szCs w:val="24"/>
        </w:rPr>
        <w:t xml:space="preserve">. </w:t>
      </w:r>
      <w:r>
        <w:rPr>
          <w:szCs w:val="24"/>
        </w:rPr>
        <w:t xml:space="preserve">A big focus of the SMGWA in the coming months will be on </w:t>
      </w:r>
      <w:r w:rsidRPr="008C7086">
        <w:rPr>
          <w:szCs w:val="24"/>
        </w:rPr>
        <w:t xml:space="preserve">bridge </w:t>
      </w:r>
      <w:r>
        <w:rPr>
          <w:szCs w:val="24"/>
        </w:rPr>
        <w:t xml:space="preserve">building between the participating water agencies </w:t>
      </w:r>
      <w:r w:rsidRPr="008C7086">
        <w:rPr>
          <w:szCs w:val="24"/>
        </w:rPr>
        <w:t xml:space="preserve">which will come as </w:t>
      </w:r>
      <w:r>
        <w:rPr>
          <w:szCs w:val="24"/>
        </w:rPr>
        <w:t xml:space="preserve">they work together to develop the GSP.  </w:t>
      </w:r>
    </w:p>
    <w:p w14:paraId="5E803745" w14:textId="77777777" w:rsidR="00502DDE" w:rsidRDefault="00502DDE" w:rsidP="00502DDE">
      <w:pPr>
        <w:tabs>
          <w:tab w:val="left" w:pos="1620"/>
        </w:tabs>
        <w:rPr>
          <w:szCs w:val="24"/>
        </w:rPr>
      </w:pPr>
    </w:p>
    <w:p w14:paraId="71FBA89B" w14:textId="77777777" w:rsidR="00502DDE" w:rsidRPr="008C7086" w:rsidRDefault="00502DDE" w:rsidP="00502DDE">
      <w:pPr>
        <w:tabs>
          <w:tab w:val="left" w:pos="1620"/>
        </w:tabs>
        <w:rPr>
          <w:szCs w:val="24"/>
        </w:rPr>
      </w:pPr>
      <w:r>
        <w:rPr>
          <w:szCs w:val="24"/>
        </w:rPr>
        <w:t>Additional details are available at the SMGWA’s website at www.smgwa.org.</w:t>
      </w:r>
    </w:p>
    <w:p w14:paraId="76BE5388" w14:textId="77777777" w:rsidR="002E5D73" w:rsidRPr="008C7086" w:rsidRDefault="002E5D73" w:rsidP="00904CA5">
      <w:pPr>
        <w:tabs>
          <w:tab w:val="left" w:pos="1620"/>
        </w:tabs>
        <w:rPr>
          <w:szCs w:val="24"/>
        </w:rPr>
      </w:pPr>
    </w:p>
    <w:p w14:paraId="7E978682" w14:textId="6A6C424A" w:rsidR="00904CA5" w:rsidRPr="008C7086" w:rsidRDefault="00904CA5" w:rsidP="008046BB">
      <w:pPr>
        <w:tabs>
          <w:tab w:val="left" w:pos="2520"/>
        </w:tabs>
        <w:rPr>
          <w:szCs w:val="24"/>
        </w:rPr>
      </w:pPr>
      <w:r w:rsidRPr="008C7086">
        <w:rPr>
          <w:b/>
          <w:szCs w:val="24"/>
        </w:rPr>
        <w:t>Directors Oral Report</w:t>
      </w:r>
      <w:r w:rsidR="00EB06F7">
        <w:rPr>
          <w:szCs w:val="24"/>
        </w:rPr>
        <w:t xml:space="preserve"> </w:t>
      </w:r>
    </w:p>
    <w:p w14:paraId="16101E0B" w14:textId="77777777" w:rsidR="008046BB" w:rsidRPr="008C7086" w:rsidRDefault="008046BB" w:rsidP="008046BB">
      <w:pPr>
        <w:tabs>
          <w:tab w:val="left" w:pos="2520"/>
        </w:tabs>
        <w:rPr>
          <w:szCs w:val="24"/>
        </w:rPr>
      </w:pPr>
    </w:p>
    <w:p w14:paraId="035D465F" w14:textId="48A94A47" w:rsidR="000F37FA" w:rsidRPr="008C7086" w:rsidRDefault="00502DDE" w:rsidP="008046BB">
      <w:pPr>
        <w:tabs>
          <w:tab w:val="left" w:pos="2520"/>
        </w:tabs>
        <w:rPr>
          <w:szCs w:val="24"/>
        </w:rPr>
      </w:pPr>
      <w:r>
        <w:rPr>
          <w:szCs w:val="24"/>
        </w:rPr>
        <w:t>Ms</w:t>
      </w:r>
      <w:r w:rsidR="000F37FA" w:rsidRPr="008C7086">
        <w:rPr>
          <w:szCs w:val="24"/>
        </w:rPr>
        <w:t>. Me</w:t>
      </w:r>
      <w:r w:rsidR="008046BB" w:rsidRPr="008C7086">
        <w:rPr>
          <w:szCs w:val="24"/>
        </w:rPr>
        <w:t xml:space="preserve">nard announced </w:t>
      </w:r>
      <w:r w:rsidR="000F37FA" w:rsidRPr="008C7086">
        <w:rPr>
          <w:szCs w:val="24"/>
        </w:rPr>
        <w:t>presentations</w:t>
      </w:r>
      <w:r w:rsidR="008046BB" w:rsidRPr="008C7086">
        <w:rPr>
          <w:szCs w:val="24"/>
        </w:rPr>
        <w:t xml:space="preserve"> next </w:t>
      </w:r>
      <w:r w:rsidR="000F37FA" w:rsidRPr="008C7086">
        <w:rPr>
          <w:szCs w:val="24"/>
        </w:rPr>
        <w:t>meeting</w:t>
      </w:r>
      <w:r w:rsidR="00EB06F7">
        <w:rPr>
          <w:szCs w:val="24"/>
        </w:rPr>
        <w:t xml:space="preserve"> will focus on the </w:t>
      </w:r>
      <w:r w:rsidR="008046BB" w:rsidRPr="008C7086">
        <w:rPr>
          <w:szCs w:val="24"/>
        </w:rPr>
        <w:t xml:space="preserve">natural </w:t>
      </w:r>
      <w:r w:rsidR="000F37FA" w:rsidRPr="008C7086">
        <w:rPr>
          <w:szCs w:val="24"/>
        </w:rPr>
        <w:t>resources</w:t>
      </w:r>
      <w:r w:rsidR="00332DF2">
        <w:rPr>
          <w:szCs w:val="24"/>
        </w:rPr>
        <w:t xml:space="preserve"> and </w:t>
      </w:r>
      <w:r w:rsidR="000F37FA" w:rsidRPr="008C7086">
        <w:rPr>
          <w:szCs w:val="24"/>
        </w:rPr>
        <w:t>environment</w:t>
      </w:r>
      <w:r w:rsidR="00560ECF">
        <w:rPr>
          <w:szCs w:val="24"/>
        </w:rPr>
        <w:t>al</w:t>
      </w:r>
      <w:r w:rsidR="00332DF2">
        <w:rPr>
          <w:szCs w:val="24"/>
        </w:rPr>
        <w:t xml:space="preserve"> side of the house. We will be reviewing the</w:t>
      </w:r>
      <w:r w:rsidR="000F37FA" w:rsidRPr="008C7086">
        <w:rPr>
          <w:szCs w:val="24"/>
        </w:rPr>
        <w:t xml:space="preserve"> sanitary survey, </w:t>
      </w:r>
      <w:r w:rsidR="008046BB" w:rsidRPr="008C7086">
        <w:rPr>
          <w:szCs w:val="24"/>
        </w:rPr>
        <w:t xml:space="preserve">the health of the </w:t>
      </w:r>
      <w:r w:rsidR="000F37FA" w:rsidRPr="008C7086">
        <w:rPr>
          <w:szCs w:val="24"/>
        </w:rPr>
        <w:t>watershed</w:t>
      </w:r>
      <w:r w:rsidR="00560ECF">
        <w:rPr>
          <w:szCs w:val="24"/>
        </w:rPr>
        <w:t xml:space="preserve"> </w:t>
      </w:r>
      <w:r>
        <w:rPr>
          <w:szCs w:val="24"/>
        </w:rPr>
        <w:t xml:space="preserve">related to </w:t>
      </w:r>
      <w:r w:rsidR="000F37FA" w:rsidRPr="008C7086">
        <w:rPr>
          <w:szCs w:val="24"/>
        </w:rPr>
        <w:t>sedimentation issues</w:t>
      </w:r>
      <w:r w:rsidR="008046BB" w:rsidRPr="008C7086">
        <w:rPr>
          <w:szCs w:val="24"/>
        </w:rPr>
        <w:t xml:space="preserve">, status of </w:t>
      </w:r>
      <w:r w:rsidR="000F37FA" w:rsidRPr="008C7086">
        <w:rPr>
          <w:szCs w:val="24"/>
        </w:rPr>
        <w:t>Habitat</w:t>
      </w:r>
      <w:r w:rsidR="008046BB" w:rsidRPr="008C7086">
        <w:rPr>
          <w:szCs w:val="24"/>
        </w:rPr>
        <w:t xml:space="preserve"> </w:t>
      </w:r>
      <w:r w:rsidR="000F37FA" w:rsidRPr="008C7086">
        <w:rPr>
          <w:szCs w:val="24"/>
        </w:rPr>
        <w:t>Conservation</w:t>
      </w:r>
      <w:r w:rsidR="008046BB" w:rsidRPr="008C7086">
        <w:rPr>
          <w:szCs w:val="24"/>
        </w:rPr>
        <w:t xml:space="preserve"> Plan, </w:t>
      </w:r>
      <w:r w:rsidR="00FE0CA0">
        <w:rPr>
          <w:szCs w:val="24"/>
        </w:rPr>
        <w:t xml:space="preserve">and the </w:t>
      </w:r>
      <w:r w:rsidR="008046BB" w:rsidRPr="008C7086">
        <w:rPr>
          <w:szCs w:val="24"/>
        </w:rPr>
        <w:t>Water Righ</w:t>
      </w:r>
      <w:r w:rsidR="000F37FA" w:rsidRPr="008C7086">
        <w:rPr>
          <w:szCs w:val="24"/>
        </w:rPr>
        <w:t xml:space="preserve">ts </w:t>
      </w:r>
      <w:r w:rsidR="00B21BA9">
        <w:rPr>
          <w:szCs w:val="24"/>
        </w:rPr>
        <w:t>C</w:t>
      </w:r>
      <w:r w:rsidR="00332DF2">
        <w:rPr>
          <w:szCs w:val="24"/>
        </w:rPr>
        <w:t xml:space="preserve">onformance </w:t>
      </w:r>
      <w:r w:rsidR="00FE0CA0">
        <w:rPr>
          <w:szCs w:val="24"/>
        </w:rPr>
        <w:t xml:space="preserve">project </w:t>
      </w:r>
      <w:r w:rsidR="00956C6C">
        <w:rPr>
          <w:szCs w:val="24"/>
        </w:rPr>
        <w:t>work</w:t>
      </w:r>
      <w:r w:rsidR="000F37FA" w:rsidRPr="008C7086">
        <w:rPr>
          <w:szCs w:val="24"/>
        </w:rPr>
        <w:t>.</w:t>
      </w:r>
    </w:p>
    <w:p w14:paraId="2C614ABB" w14:textId="77777777" w:rsidR="008046BB" w:rsidRPr="008C7086" w:rsidRDefault="008046BB" w:rsidP="008046BB">
      <w:pPr>
        <w:tabs>
          <w:tab w:val="left" w:pos="2520"/>
        </w:tabs>
        <w:rPr>
          <w:szCs w:val="24"/>
        </w:rPr>
      </w:pPr>
      <w:r w:rsidRPr="008C7086">
        <w:rPr>
          <w:szCs w:val="24"/>
        </w:rPr>
        <w:t xml:space="preserve"> </w:t>
      </w:r>
    </w:p>
    <w:p w14:paraId="2B7CC5D2" w14:textId="77777777" w:rsidR="008046BB" w:rsidRPr="008C7086" w:rsidRDefault="000F37FA" w:rsidP="008046BB">
      <w:pPr>
        <w:tabs>
          <w:tab w:val="left" w:pos="2520"/>
        </w:tabs>
        <w:rPr>
          <w:szCs w:val="24"/>
        </w:rPr>
      </w:pPr>
      <w:r w:rsidRPr="008C7086">
        <w:rPr>
          <w:szCs w:val="24"/>
        </w:rPr>
        <w:t>In January there will be a</w:t>
      </w:r>
      <w:r w:rsidR="008046BB" w:rsidRPr="008C7086">
        <w:rPr>
          <w:szCs w:val="24"/>
        </w:rPr>
        <w:t xml:space="preserve"> presentation</w:t>
      </w:r>
      <w:r w:rsidR="00B21BA9">
        <w:rPr>
          <w:szCs w:val="24"/>
        </w:rPr>
        <w:t xml:space="preserve"> and review of </w:t>
      </w:r>
      <w:r w:rsidRPr="008C7086">
        <w:rPr>
          <w:szCs w:val="24"/>
        </w:rPr>
        <w:t xml:space="preserve">the current </w:t>
      </w:r>
      <w:r w:rsidR="00846B01">
        <w:rPr>
          <w:szCs w:val="24"/>
        </w:rPr>
        <w:t xml:space="preserve">CIP projects </w:t>
      </w:r>
      <w:r w:rsidR="00FE0CA0">
        <w:rPr>
          <w:szCs w:val="24"/>
        </w:rPr>
        <w:t>in the D</w:t>
      </w:r>
      <w:r w:rsidRPr="008C7086">
        <w:rPr>
          <w:szCs w:val="24"/>
        </w:rPr>
        <w:t>epartment</w:t>
      </w:r>
      <w:r w:rsidR="004C116F" w:rsidRPr="008C7086">
        <w:rPr>
          <w:szCs w:val="24"/>
        </w:rPr>
        <w:t xml:space="preserve"> project</w:t>
      </w:r>
      <w:r w:rsidRPr="008C7086">
        <w:rPr>
          <w:szCs w:val="24"/>
        </w:rPr>
        <w:t>s</w:t>
      </w:r>
      <w:r w:rsidR="004C116F" w:rsidRPr="008C7086">
        <w:rPr>
          <w:szCs w:val="24"/>
        </w:rPr>
        <w:t>.</w:t>
      </w:r>
    </w:p>
    <w:p w14:paraId="6CBDD39E" w14:textId="77777777" w:rsidR="008046BB" w:rsidRPr="008C7086" w:rsidRDefault="008046BB" w:rsidP="008046BB">
      <w:pPr>
        <w:tabs>
          <w:tab w:val="left" w:pos="2520"/>
        </w:tabs>
        <w:rPr>
          <w:szCs w:val="24"/>
        </w:rPr>
      </w:pPr>
    </w:p>
    <w:p w14:paraId="496C356E" w14:textId="77777777" w:rsidR="00644A92" w:rsidRDefault="00904CA5" w:rsidP="001407B0">
      <w:pPr>
        <w:tabs>
          <w:tab w:val="left" w:pos="1620"/>
        </w:tabs>
        <w:ind w:left="1620" w:hanging="1620"/>
        <w:rPr>
          <w:szCs w:val="24"/>
        </w:rPr>
      </w:pPr>
      <w:r w:rsidRPr="008C7086">
        <w:rPr>
          <w:b/>
          <w:szCs w:val="24"/>
        </w:rPr>
        <w:t>Adjournment</w:t>
      </w:r>
      <w:r w:rsidR="006E5211" w:rsidRPr="008C7086">
        <w:rPr>
          <w:szCs w:val="24"/>
        </w:rPr>
        <w:tab/>
        <w:t xml:space="preserve">Meeting adjourned at </w:t>
      </w:r>
      <w:r w:rsidR="00EE286D">
        <w:rPr>
          <w:szCs w:val="24"/>
        </w:rPr>
        <w:t>9:22 pm</w:t>
      </w:r>
      <w:r w:rsidR="00CC194C">
        <w:rPr>
          <w:szCs w:val="24"/>
        </w:rPr>
        <w:t xml:space="preserve">. </w:t>
      </w:r>
    </w:p>
    <w:p w14:paraId="574A9F7E" w14:textId="77777777" w:rsidR="00CC194C" w:rsidRPr="008C7086" w:rsidRDefault="00CC194C" w:rsidP="001407B0">
      <w:pPr>
        <w:tabs>
          <w:tab w:val="left" w:pos="1620"/>
        </w:tabs>
        <w:ind w:left="1620" w:hanging="1620"/>
        <w:rPr>
          <w:szCs w:val="24"/>
        </w:rPr>
      </w:pPr>
    </w:p>
    <w:p w14:paraId="64D57924" w14:textId="77777777" w:rsidR="00644A92" w:rsidRDefault="00644A92" w:rsidP="00644A92">
      <w:pPr>
        <w:rPr>
          <w:szCs w:val="24"/>
        </w:rPr>
      </w:pPr>
      <w:r w:rsidRPr="008C7086">
        <w:rPr>
          <w:szCs w:val="24"/>
        </w:rPr>
        <w:t>Respectfully submitted,</w:t>
      </w:r>
    </w:p>
    <w:p w14:paraId="6C954825" w14:textId="77777777" w:rsidR="00E801B2" w:rsidRPr="008C7086" w:rsidRDefault="00E801B2" w:rsidP="00644A92">
      <w:pPr>
        <w:rPr>
          <w:szCs w:val="24"/>
        </w:rPr>
      </w:pPr>
    </w:p>
    <w:p w14:paraId="35FDAD20" w14:textId="77777777" w:rsidR="00644A92" w:rsidRPr="00E801B2" w:rsidRDefault="00CC194C" w:rsidP="00CC194C">
      <w:pPr>
        <w:tabs>
          <w:tab w:val="left" w:pos="1678"/>
        </w:tabs>
        <w:rPr>
          <w:szCs w:val="24"/>
        </w:rPr>
      </w:pPr>
      <w:r w:rsidRPr="00E801B2">
        <w:rPr>
          <w:szCs w:val="24"/>
        </w:rPr>
        <w:t>Nicole B. Dennis</w:t>
      </w:r>
    </w:p>
    <w:p w14:paraId="5FE77DDD" w14:textId="77777777" w:rsidR="00644A92" w:rsidRPr="008C7086" w:rsidRDefault="00E801B2" w:rsidP="00644A92">
      <w:pPr>
        <w:pStyle w:val="BodyText2"/>
        <w:rPr>
          <w:i w:val="0"/>
          <w:szCs w:val="24"/>
        </w:rPr>
      </w:pPr>
      <w:r>
        <w:rPr>
          <w:i w:val="0"/>
          <w:szCs w:val="24"/>
        </w:rPr>
        <w:t>Principal Management Analyst</w:t>
      </w:r>
    </w:p>
    <w:p w14:paraId="4ED46DF0" w14:textId="77777777" w:rsidR="00644A92" w:rsidRPr="008C7086" w:rsidRDefault="00644A92" w:rsidP="001407B0">
      <w:pPr>
        <w:tabs>
          <w:tab w:val="left" w:pos="1620"/>
        </w:tabs>
        <w:ind w:left="1620" w:hanging="1620"/>
        <w:rPr>
          <w:szCs w:val="24"/>
        </w:rPr>
      </w:pPr>
    </w:p>
    <w:sectPr w:rsidR="00644A92" w:rsidRPr="008C7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64A9B"/>
    <w:multiLevelType w:val="hybridMultilevel"/>
    <w:tmpl w:val="4D1A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E265C"/>
    <w:multiLevelType w:val="hybridMultilevel"/>
    <w:tmpl w:val="A47A6774"/>
    <w:lvl w:ilvl="0" w:tplc="C84C8E82">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34A85"/>
    <w:multiLevelType w:val="hybridMultilevel"/>
    <w:tmpl w:val="D2ACBC6E"/>
    <w:lvl w:ilvl="0" w:tplc="319C74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57959"/>
    <w:multiLevelType w:val="hybridMultilevel"/>
    <w:tmpl w:val="4484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54132"/>
    <w:multiLevelType w:val="hybridMultilevel"/>
    <w:tmpl w:val="2462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A2853"/>
    <w:multiLevelType w:val="hybridMultilevel"/>
    <w:tmpl w:val="35AC66E8"/>
    <w:lvl w:ilvl="0" w:tplc="74148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110BA9"/>
    <w:multiLevelType w:val="hybridMultilevel"/>
    <w:tmpl w:val="20C8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0BC4"/>
    <w:multiLevelType w:val="multilevel"/>
    <w:tmpl w:val="949A7B4C"/>
    <w:lvl w:ilvl="0">
      <w:start w:val="1"/>
      <w:numFmt w:val="decimal"/>
      <w:lvlText w:val="%1."/>
      <w:lvlJc w:val="left"/>
      <w:pPr>
        <w:ind w:left="720" w:hanging="360"/>
      </w:pPr>
    </w:lvl>
    <w:lvl w:ilvl="1">
      <w:start w:val="1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AF59BF"/>
    <w:multiLevelType w:val="hybridMultilevel"/>
    <w:tmpl w:val="1BD06350"/>
    <w:lvl w:ilvl="0" w:tplc="D6504F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D353B"/>
    <w:multiLevelType w:val="hybridMultilevel"/>
    <w:tmpl w:val="ABBE18C6"/>
    <w:lvl w:ilvl="0" w:tplc="264A3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576BA2"/>
    <w:multiLevelType w:val="hybridMultilevel"/>
    <w:tmpl w:val="7E144A54"/>
    <w:lvl w:ilvl="0" w:tplc="E396B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C159E"/>
    <w:multiLevelType w:val="multilevel"/>
    <w:tmpl w:val="949A7B4C"/>
    <w:lvl w:ilvl="0">
      <w:start w:val="1"/>
      <w:numFmt w:val="decimal"/>
      <w:lvlText w:val="%1."/>
      <w:lvlJc w:val="left"/>
      <w:pPr>
        <w:ind w:left="360" w:hanging="360"/>
      </w:pPr>
    </w:lvl>
    <w:lvl w:ilvl="1">
      <w:start w:val="1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E514AA0"/>
    <w:multiLevelType w:val="hybridMultilevel"/>
    <w:tmpl w:val="02108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9"/>
  </w:num>
  <w:num w:numId="6">
    <w:abstractNumId w:val="5"/>
  </w:num>
  <w:num w:numId="7">
    <w:abstractNumId w:val="11"/>
  </w:num>
  <w:num w:numId="8">
    <w:abstractNumId w:val="1"/>
  </w:num>
  <w:num w:numId="9">
    <w:abstractNumId w:val="10"/>
  </w:num>
  <w:num w:numId="10">
    <w:abstractNumId w:val="8"/>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98"/>
    <w:rsid w:val="0001001A"/>
    <w:rsid w:val="00021161"/>
    <w:rsid w:val="0002185F"/>
    <w:rsid w:val="00027CD8"/>
    <w:rsid w:val="00032D67"/>
    <w:rsid w:val="000424B7"/>
    <w:rsid w:val="00050A7A"/>
    <w:rsid w:val="0005565C"/>
    <w:rsid w:val="00076667"/>
    <w:rsid w:val="00077932"/>
    <w:rsid w:val="000A1787"/>
    <w:rsid w:val="000A7061"/>
    <w:rsid w:val="000B274D"/>
    <w:rsid w:val="000D0D45"/>
    <w:rsid w:val="000D7184"/>
    <w:rsid w:val="000E4AC5"/>
    <w:rsid w:val="000F37FA"/>
    <w:rsid w:val="000F6CF1"/>
    <w:rsid w:val="00114E3D"/>
    <w:rsid w:val="001230B2"/>
    <w:rsid w:val="001242D6"/>
    <w:rsid w:val="00135927"/>
    <w:rsid w:val="00137A72"/>
    <w:rsid w:val="001407B0"/>
    <w:rsid w:val="00140E0B"/>
    <w:rsid w:val="001545F6"/>
    <w:rsid w:val="00161598"/>
    <w:rsid w:val="00167DFE"/>
    <w:rsid w:val="0017046B"/>
    <w:rsid w:val="00171BE2"/>
    <w:rsid w:val="00173FC6"/>
    <w:rsid w:val="0017460F"/>
    <w:rsid w:val="001820CD"/>
    <w:rsid w:val="00197DBF"/>
    <w:rsid w:val="001B5A7C"/>
    <w:rsid w:val="001D0EB7"/>
    <w:rsid w:val="001D3476"/>
    <w:rsid w:val="001E6EC2"/>
    <w:rsid w:val="001F40B3"/>
    <w:rsid w:val="001F54CC"/>
    <w:rsid w:val="002042A9"/>
    <w:rsid w:val="00207B13"/>
    <w:rsid w:val="00220EEC"/>
    <w:rsid w:val="002310E4"/>
    <w:rsid w:val="00242DBD"/>
    <w:rsid w:val="00245B9E"/>
    <w:rsid w:val="00260FF9"/>
    <w:rsid w:val="00266379"/>
    <w:rsid w:val="00284CE3"/>
    <w:rsid w:val="00286524"/>
    <w:rsid w:val="00292C04"/>
    <w:rsid w:val="002A0EBD"/>
    <w:rsid w:val="002A0F33"/>
    <w:rsid w:val="002A6720"/>
    <w:rsid w:val="002D046E"/>
    <w:rsid w:val="002D09F5"/>
    <w:rsid w:val="002D47B5"/>
    <w:rsid w:val="002E5D73"/>
    <w:rsid w:val="00310586"/>
    <w:rsid w:val="003162FB"/>
    <w:rsid w:val="00332DF2"/>
    <w:rsid w:val="003411E3"/>
    <w:rsid w:val="00342B06"/>
    <w:rsid w:val="00350D72"/>
    <w:rsid w:val="00353350"/>
    <w:rsid w:val="003550DF"/>
    <w:rsid w:val="00375184"/>
    <w:rsid w:val="003754ED"/>
    <w:rsid w:val="00376695"/>
    <w:rsid w:val="00385849"/>
    <w:rsid w:val="003A6CAA"/>
    <w:rsid w:val="003C0318"/>
    <w:rsid w:val="003C7F6A"/>
    <w:rsid w:val="003E3C8B"/>
    <w:rsid w:val="003E506A"/>
    <w:rsid w:val="003F053C"/>
    <w:rsid w:val="003F1F10"/>
    <w:rsid w:val="00461A79"/>
    <w:rsid w:val="00461C3B"/>
    <w:rsid w:val="00462B98"/>
    <w:rsid w:val="00463620"/>
    <w:rsid w:val="00490AED"/>
    <w:rsid w:val="0049639D"/>
    <w:rsid w:val="004B3E22"/>
    <w:rsid w:val="004B7302"/>
    <w:rsid w:val="004B77AD"/>
    <w:rsid w:val="004C116F"/>
    <w:rsid w:val="004D0217"/>
    <w:rsid w:val="004D2DED"/>
    <w:rsid w:val="004E5E87"/>
    <w:rsid w:val="004F4503"/>
    <w:rsid w:val="004F5906"/>
    <w:rsid w:val="00502DDE"/>
    <w:rsid w:val="00507536"/>
    <w:rsid w:val="00511095"/>
    <w:rsid w:val="00515464"/>
    <w:rsid w:val="00532533"/>
    <w:rsid w:val="00537547"/>
    <w:rsid w:val="005437D3"/>
    <w:rsid w:val="00551B90"/>
    <w:rsid w:val="00552122"/>
    <w:rsid w:val="00553B70"/>
    <w:rsid w:val="00557D12"/>
    <w:rsid w:val="00560ECF"/>
    <w:rsid w:val="005672A0"/>
    <w:rsid w:val="00572EEA"/>
    <w:rsid w:val="00577881"/>
    <w:rsid w:val="00577EAA"/>
    <w:rsid w:val="00591A1D"/>
    <w:rsid w:val="005A7B6C"/>
    <w:rsid w:val="005B3E48"/>
    <w:rsid w:val="005B5A4E"/>
    <w:rsid w:val="005B6077"/>
    <w:rsid w:val="005F2A20"/>
    <w:rsid w:val="00600829"/>
    <w:rsid w:val="00601AA2"/>
    <w:rsid w:val="0060207D"/>
    <w:rsid w:val="00604419"/>
    <w:rsid w:val="00605123"/>
    <w:rsid w:val="00607A18"/>
    <w:rsid w:val="006133A6"/>
    <w:rsid w:val="00626B39"/>
    <w:rsid w:val="00627BCB"/>
    <w:rsid w:val="00630EA7"/>
    <w:rsid w:val="00631BB8"/>
    <w:rsid w:val="00644A92"/>
    <w:rsid w:val="00667588"/>
    <w:rsid w:val="006720B7"/>
    <w:rsid w:val="006723BE"/>
    <w:rsid w:val="006742F3"/>
    <w:rsid w:val="00681065"/>
    <w:rsid w:val="00684004"/>
    <w:rsid w:val="00684B50"/>
    <w:rsid w:val="006C06C9"/>
    <w:rsid w:val="006E5211"/>
    <w:rsid w:val="00705480"/>
    <w:rsid w:val="007065CD"/>
    <w:rsid w:val="007175F8"/>
    <w:rsid w:val="00733F55"/>
    <w:rsid w:val="00746807"/>
    <w:rsid w:val="007B3D26"/>
    <w:rsid w:val="007C254A"/>
    <w:rsid w:val="007C2FB9"/>
    <w:rsid w:val="007C7479"/>
    <w:rsid w:val="007D27C8"/>
    <w:rsid w:val="007E67C0"/>
    <w:rsid w:val="007F0794"/>
    <w:rsid w:val="0080010C"/>
    <w:rsid w:val="008046BB"/>
    <w:rsid w:val="00805BD2"/>
    <w:rsid w:val="0083111A"/>
    <w:rsid w:val="00834726"/>
    <w:rsid w:val="00836A6C"/>
    <w:rsid w:val="00846B01"/>
    <w:rsid w:val="00846B99"/>
    <w:rsid w:val="008477C7"/>
    <w:rsid w:val="008500B0"/>
    <w:rsid w:val="00852521"/>
    <w:rsid w:val="00852800"/>
    <w:rsid w:val="008577D5"/>
    <w:rsid w:val="0088256C"/>
    <w:rsid w:val="00885AC3"/>
    <w:rsid w:val="008945A6"/>
    <w:rsid w:val="008A18C2"/>
    <w:rsid w:val="008B7BCD"/>
    <w:rsid w:val="008C7086"/>
    <w:rsid w:val="008D013C"/>
    <w:rsid w:val="008D6535"/>
    <w:rsid w:val="008E0650"/>
    <w:rsid w:val="008E730E"/>
    <w:rsid w:val="008F0EBD"/>
    <w:rsid w:val="008F6331"/>
    <w:rsid w:val="008F6B12"/>
    <w:rsid w:val="008F6F5C"/>
    <w:rsid w:val="00904CA5"/>
    <w:rsid w:val="0091276E"/>
    <w:rsid w:val="00914C2C"/>
    <w:rsid w:val="0094583E"/>
    <w:rsid w:val="00950259"/>
    <w:rsid w:val="00951930"/>
    <w:rsid w:val="00956C6C"/>
    <w:rsid w:val="0096587B"/>
    <w:rsid w:val="0097150C"/>
    <w:rsid w:val="00984D91"/>
    <w:rsid w:val="009907B8"/>
    <w:rsid w:val="00996B72"/>
    <w:rsid w:val="009B1A50"/>
    <w:rsid w:val="009B4AF8"/>
    <w:rsid w:val="009B7B82"/>
    <w:rsid w:val="009C584F"/>
    <w:rsid w:val="009C6212"/>
    <w:rsid w:val="009D599D"/>
    <w:rsid w:val="009F618D"/>
    <w:rsid w:val="00A33204"/>
    <w:rsid w:val="00A367A3"/>
    <w:rsid w:val="00A4496C"/>
    <w:rsid w:val="00A72341"/>
    <w:rsid w:val="00A7769F"/>
    <w:rsid w:val="00A778C6"/>
    <w:rsid w:val="00A82477"/>
    <w:rsid w:val="00A9788E"/>
    <w:rsid w:val="00AA0F09"/>
    <w:rsid w:val="00AA4D74"/>
    <w:rsid w:val="00AA5AD1"/>
    <w:rsid w:val="00AF0E2B"/>
    <w:rsid w:val="00B21BA9"/>
    <w:rsid w:val="00B26B44"/>
    <w:rsid w:val="00B458A1"/>
    <w:rsid w:val="00B64EDE"/>
    <w:rsid w:val="00B669DB"/>
    <w:rsid w:val="00B70994"/>
    <w:rsid w:val="00B93139"/>
    <w:rsid w:val="00B97F45"/>
    <w:rsid w:val="00BA0F07"/>
    <w:rsid w:val="00BC506E"/>
    <w:rsid w:val="00C12C5A"/>
    <w:rsid w:val="00C12F81"/>
    <w:rsid w:val="00C233E8"/>
    <w:rsid w:val="00C265E9"/>
    <w:rsid w:val="00C2702B"/>
    <w:rsid w:val="00C3750C"/>
    <w:rsid w:val="00C444AD"/>
    <w:rsid w:val="00C636D6"/>
    <w:rsid w:val="00C94FD7"/>
    <w:rsid w:val="00CB304F"/>
    <w:rsid w:val="00CC194C"/>
    <w:rsid w:val="00CD392A"/>
    <w:rsid w:val="00CD75EA"/>
    <w:rsid w:val="00CE0E77"/>
    <w:rsid w:val="00CE1171"/>
    <w:rsid w:val="00CF3A7F"/>
    <w:rsid w:val="00D07769"/>
    <w:rsid w:val="00D30075"/>
    <w:rsid w:val="00D3256F"/>
    <w:rsid w:val="00D41FB8"/>
    <w:rsid w:val="00D53D5D"/>
    <w:rsid w:val="00D744EC"/>
    <w:rsid w:val="00D753AC"/>
    <w:rsid w:val="00D81177"/>
    <w:rsid w:val="00DB1ABA"/>
    <w:rsid w:val="00DB293D"/>
    <w:rsid w:val="00DB716A"/>
    <w:rsid w:val="00DC79E2"/>
    <w:rsid w:val="00DE009F"/>
    <w:rsid w:val="00DE01CF"/>
    <w:rsid w:val="00DE047B"/>
    <w:rsid w:val="00DE1659"/>
    <w:rsid w:val="00DF130B"/>
    <w:rsid w:val="00E13998"/>
    <w:rsid w:val="00E218D3"/>
    <w:rsid w:val="00E232B7"/>
    <w:rsid w:val="00E4164F"/>
    <w:rsid w:val="00E463C2"/>
    <w:rsid w:val="00E54DAD"/>
    <w:rsid w:val="00E61855"/>
    <w:rsid w:val="00E801B2"/>
    <w:rsid w:val="00EA76C6"/>
    <w:rsid w:val="00EB06F7"/>
    <w:rsid w:val="00EB6029"/>
    <w:rsid w:val="00EC614F"/>
    <w:rsid w:val="00EC6D92"/>
    <w:rsid w:val="00ED7F11"/>
    <w:rsid w:val="00EE286D"/>
    <w:rsid w:val="00EE3133"/>
    <w:rsid w:val="00EF4438"/>
    <w:rsid w:val="00EF4DD4"/>
    <w:rsid w:val="00F04B87"/>
    <w:rsid w:val="00F13D05"/>
    <w:rsid w:val="00F155D6"/>
    <w:rsid w:val="00F16658"/>
    <w:rsid w:val="00F207E1"/>
    <w:rsid w:val="00F32D23"/>
    <w:rsid w:val="00F4005B"/>
    <w:rsid w:val="00F44CC9"/>
    <w:rsid w:val="00F47C7C"/>
    <w:rsid w:val="00F505A8"/>
    <w:rsid w:val="00F51941"/>
    <w:rsid w:val="00F57594"/>
    <w:rsid w:val="00F80AEF"/>
    <w:rsid w:val="00F80CD1"/>
    <w:rsid w:val="00FC08CC"/>
    <w:rsid w:val="00FC5528"/>
    <w:rsid w:val="00FC7BAE"/>
    <w:rsid w:val="00FE0CA0"/>
    <w:rsid w:val="00FE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CCA95"/>
  <w15:docId w15:val="{F9662A07-D832-435D-B019-8484F88F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31"/>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8C70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8F6331"/>
    <w:pPr>
      <w:keepNext/>
      <w:jc w:val="center"/>
      <w:outlineLvl w:val="7"/>
    </w:pPr>
    <w:rPr>
      <w:rFonts w:ascii="Book Antiqua" w:hAnsi="Book Antiqua"/>
      <w:b/>
      <w:bCs/>
      <w:sz w:val="32"/>
    </w:rPr>
  </w:style>
  <w:style w:type="paragraph" w:styleId="Heading9">
    <w:name w:val="heading 9"/>
    <w:basedOn w:val="Normal"/>
    <w:next w:val="Normal"/>
    <w:link w:val="Heading9Char"/>
    <w:uiPriority w:val="9"/>
    <w:semiHidden/>
    <w:unhideWhenUsed/>
    <w:qFormat/>
    <w:rsid w:val="008C708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F6331"/>
    <w:rPr>
      <w:rFonts w:ascii="Book Antiqua" w:eastAsia="Times New Roman" w:hAnsi="Book Antiqua" w:cs="Times New Roman"/>
      <w:b/>
      <w:bCs/>
      <w:sz w:val="32"/>
      <w:szCs w:val="20"/>
    </w:rPr>
  </w:style>
  <w:style w:type="paragraph" w:styleId="BalloonText">
    <w:name w:val="Balloon Text"/>
    <w:basedOn w:val="Normal"/>
    <w:link w:val="BalloonTextChar"/>
    <w:uiPriority w:val="99"/>
    <w:semiHidden/>
    <w:unhideWhenUsed/>
    <w:rsid w:val="008F6331"/>
    <w:rPr>
      <w:rFonts w:ascii="Tahoma" w:hAnsi="Tahoma" w:cs="Tahoma"/>
      <w:sz w:val="16"/>
      <w:szCs w:val="16"/>
    </w:rPr>
  </w:style>
  <w:style w:type="character" w:customStyle="1" w:styleId="BalloonTextChar">
    <w:name w:val="Balloon Text Char"/>
    <w:basedOn w:val="DefaultParagraphFont"/>
    <w:link w:val="BalloonText"/>
    <w:uiPriority w:val="99"/>
    <w:semiHidden/>
    <w:rsid w:val="008F6331"/>
    <w:rPr>
      <w:rFonts w:ascii="Tahoma" w:eastAsia="Times New Roman" w:hAnsi="Tahoma" w:cs="Tahoma"/>
      <w:sz w:val="16"/>
      <w:szCs w:val="16"/>
    </w:rPr>
  </w:style>
  <w:style w:type="paragraph" w:styleId="ListParagraph">
    <w:name w:val="List Paragraph"/>
    <w:basedOn w:val="Normal"/>
    <w:uiPriority w:val="34"/>
    <w:qFormat/>
    <w:rsid w:val="00C12F81"/>
    <w:pPr>
      <w:ind w:left="720"/>
      <w:contextualSpacing/>
    </w:pPr>
  </w:style>
  <w:style w:type="paragraph" w:customStyle="1" w:styleId="Default">
    <w:name w:val="Default"/>
    <w:rsid w:val="007F07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unhideWhenUsed/>
    <w:rsid w:val="00644A92"/>
    <w:rPr>
      <w:i/>
      <w:iCs/>
    </w:rPr>
  </w:style>
  <w:style w:type="character" w:customStyle="1" w:styleId="BodyText2Char">
    <w:name w:val="Body Text 2 Char"/>
    <w:basedOn w:val="DefaultParagraphFont"/>
    <w:link w:val="BodyText2"/>
    <w:rsid w:val="00644A92"/>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
    <w:semiHidden/>
    <w:rsid w:val="008C708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8C7086"/>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B6029"/>
    <w:rPr>
      <w:sz w:val="16"/>
      <w:szCs w:val="16"/>
    </w:rPr>
  </w:style>
  <w:style w:type="paragraph" w:styleId="CommentText">
    <w:name w:val="annotation text"/>
    <w:basedOn w:val="Normal"/>
    <w:link w:val="CommentTextChar"/>
    <w:uiPriority w:val="99"/>
    <w:semiHidden/>
    <w:unhideWhenUsed/>
    <w:rsid w:val="00EB6029"/>
    <w:rPr>
      <w:sz w:val="20"/>
    </w:rPr>
  </w:style>
  <w:style w:type="character" w:customStyle="1" w:styleId="CommentTextChar">
    <w:name w:val="Comment Text Char"/>
    <w:basedOn w:val="DefaultParagraphFont"/>
    <w:link w:val="CommentText"/>
    <w:uiPriority w:val="99"/>
    <w:semiHidden/>
    <w:rsid w:val="00EB60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6029"/>
    <w:rPr>
      <w:b/>
      <w:bCs/>
    </w:rPr>
  </w:style>
  <w:style w:type="character" w:customStyle="1" w:styleId="CommentSubjectChar">
    <w:name w:val="Comment Subject Char"/>
    <w:basedOn w:val="CommentTextChar"/>
    <w:link w:val="CommentSubject"/>
    <w:uiPriority w:val="99"/>
    <w:semiHidden/>
    <w:rsid w:val="00EB6029"/>
    <w:rPr>
      <w:rFonts w:ascii="Times New Roman" w:eastAsia="Times New Roman" w:hAnsi="Times New Roman" w:cs="Times New Roman"/>
      <w:b/>
      <w:bCs/>
      <w:sz w:val="20"/>
      <w:szCs w:val="20"/>
    </w:rPr>
  </w:style>
  <w:style w:type="paragraph" w:styleId="Revision">
    <w:name w:val="Revision"/>
    <w:hidden/>
    <w:uiPriority w:val="99"/>
    <w:semiHidden/>
    <w:rsid w:val="0080010C"/>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02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dcountygroundwat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E536-988D-48B4-8FDA-64104F34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Nicole B. Dennis</cp:lastModifiedBy>
  <cp:revision>2</cp:revision>
  <dcterms:created xsi:type="dcterms:W3CDTF">2017-11-29T19:08:00Z</dcterms:created>
  <dcterms:modified xsi:type="dcterms:W3CDTF">2017-11-29T19:08:00Z</dcterms:modified>
</cp:coreProperties>
</file>